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Bankers First Choice Project Opportunities</w:t>
      </w:r>
    </w:p>
    <w:p>
      <w:r>
        <w:t>Research and implementation plan  October 18 2026</w:t>
      </w:r>
    </w:p>
    <w:p>
      <w:r>
        <w:t>Research observed: October 18, 2026, America/New_York. Public primary seller and public-owner sources were inspected. Prices are advertised observations, not binding quotes or confirmations that stock remains available. No seller, borrower, contractor, or public agency was contacted. No application, purchase, or funding commitment was made.</w:t>
      </w:r>
    </w:p>
    <w:p>
      <w:pPr>
        <w:pStyle w:val="Heading1"/>
      </w:pPr>
      <w:r>
        <w:t>Decision</w:t>
      </w:r>
    </w:p>
    <w:p>
      <w:r>
        <w:t>Prioritize one contractor equipment financing pilot, then a small cold-storage installation for an existing operator. Solar requires an identified site and verified energy economics. Treat procurement as a sourcing channel until an actual supplier has a signed purchase order. None of these items is a B1C borrower, approved investment, committed pipeline item, or board-approved project.</w:t>
      </w:r>
    </w:p>
    <w:p>
      <w:pPr>
        <w:pStyle w:val="Heading1"/>
      </w:pPr>
      <w:r>
        <w:t>Ranked shortlist</w:t>
      </w:r>
    </w:p>
    <w:tbl>
      <w:tblPr>
        <w:tblW w:type="auto" w:w="0"/>
        <w:tblLayout w:type="fixed"/>
        <w:tblLook w:firstColumn="1" w:firstRow="1" w:lastColumn="0" w:lastRow="0" w:noHBand="0" w:noVBand="1" w:val="04A0"/>
      </w:tblPr>
      <w:tblGrid>
        <w:gridCol w:w="504"/>
        <w:gridCol w:w="2088"/>
        <w:gridCol w:w="2592"/>
        <w:gridCol w:w="2304"/>
        <w:gridCol w:w="2736"/>
      </w:tblGrid>
      <w:tr>
        <w:trPr>
          <w:cantSplit/>
          <w:tblHeader/>
        </w:trPr>
        <w:tc>
          <w:tcPr>
            <w:tcW w:type="dxa" w:w="504"/>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7"/>
              </w:rPr>
              <w:t>Rank</w:t>
            </w:r>
          </w:p>
        </w:tc>
        <w:tc>
          <w:tcPr>
            <w:tcW w:type="dxa" w:w="2088"/>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7"/>
              </w:rPr>
              <w:t>Actual listing or established opportunity</w:t>
            </w:r>
          </w:p>
        </w:tc>
        <w:tc>
          <w:tcPr>
            <w:tcW w:type="dxa" w:w="2592"/>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7"/>
              </w:rPr>
              <w:t>Observed primary-source facts</w:t>
            </w:r>
          </w:p>
        </w:tc>
        <w:tc>
          <w:tcPr>
            <w:tcW w:type="dxa" w:w="2304"/>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7"/>
              </w:rPr>
              <w:t>Potential B1C project — proposed only</w:t>
            </w:r>
          </w:p>
        </w:tc>
        <w:tc>
          <w:tcPr>
            <w:tcW w:type="dxa" w:w="2736"/>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7"/>
              </w:rPr>
              <w:t>Evidence still required</w:t>
            </w:r>
          </w:p>
        </w:tc>
      </w:tr>
      <w:tr>
        <w:trPr>
          <w:cantSplit/>
        </w:trPr>
        <w:tc>
          <w:tcPr>
            <w:tcW w:type="dxa" w:w="5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1</w:t>
            </w:r>
          </w:p>
        </w:tc>
        <w:tc>
          <w:tcPr>
            <w:tcW w:type="dxa" w:w="208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Carter Machinery, 2022 Cat 259D3, Salem VA</w:t>
            </w:r>
          </w:p>
        </w:tc>
        <w:tc>
          <w:tcPr>
            <w:tcW w:type="dxa" w:w="259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$65,000 advertised; 238 hours; serial CW918483; stock C5061890; page update September 11, 2026</w:t>
            </w:r>
          </w:p>
        </w:tc>
        <w:tc>
          <w:tcPr>
            <w:tcW w:type="dxa" w:w="23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Primary equipment asset for the first proposed pilot</w:t>
            </w:r>
          </w:p>
        </w:tc>
        <w:tc>
          <w:tcPr>
            <w:tcW w:type="dxa" w:w="273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Reconcile unusually low listed hours against service and telematics; obtain inspection and current quote</w:t>
            </w:r>
          </w:p>
        </w:tc>
      </w:tr>
      <w:tr>
        <w:trPr>
          <w:cantSplit/>
        </w:trPr>
        <w:tc>
          <w:tcPr>
            <w:tcW w:type="dxa" w:w="504"/>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2</w:t>
            </w:r>
          </w:p>
        </w:tc>
        <w:tc>
          <w:tcPr>
            <w:tcW w:type="dxa" w:w="2088"/>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Amerikooler QC081072NBSC indoor cooler, sold by WebstaurantStore</w:t>
            </w:r>
          </w:p>
        </w:tc>
        <w:tc>
          <w:tcPr>
            <w:tcW w:type="dxa" w:w="259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$12,761; nominal 8 × 10 × 7 ft 2 in; floorless; top-mounted refrigeration; 208/230V; 573 cu ft</w:t>
            </w:r>
          </w:p>
        </w:tc>
        <w:tc>
          <w:tcPr>
            <w:tcW w:type="dxa" w:w="2304"/>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Finance an installed cooler for an established food or agricultural operator</w:t>
            </w:r>
          </w:p>
        </w:tc>
        <w:tc>
          <w:tcPr>
            <w:tcW w:type="dxa" w:w="2736"/>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Site and electrical suitability; installed price; thermal load engineering; operating margin; customers; service arrangements</w:t>
            </w:r>
          </w:p>
        </w:tc>
      </w:tr>
      <w:tr>
        <w:trPr>
          <w:cantSplit/>
        </w:trPr>
        <w:tc>
          <w:tcPr>
            <w:tcW w:type="dxa" w:w="5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3</w:t>
            </w:r>
          </w:p>
        </w:tc>
        <w:tc>
          <w:tcPr>
            <w:tcW w:type="dxa" w:w="2088"/>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Signature Solar EG4 Whole-Home Weatherproof Power Kit, KIT-E0007</w:t>
            </w:r>
          </w:p>
        </w:tc>
        <w:tc>
          <w:tcPr>
            <w:tcW w:type="dxa" w:w="259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Catalog displayed $10,550.85 sale price versus $11,826.87; named 18kPV inverter, All Weather WallMount and solar</w:t>
            </w:r>
          </w:p>
        </w:tc>
        <w:tc>
          <w:tcPr>
            <w:tcW w:type="dxa" w:w="2304"/>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Small operating-site energy/backup pilot, contingent on a properly engineered design</w:t>
            </w:r>
          </w:p>
        </w:tc>
        <w:tc>
          <w:tcPr>
            <w:tcW w:type="dxa" w:w="2736"/>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Exact selected configuration, panel watts, battery capacity, freight, installation, utility terms, load/production analysis; catalog kit price is not turnkey project cost</w:t>
            </w:r>
          </w:p>
        </w:tc>
      </w:tr>
      <w:tr>
        <w:trPr>
          <w:cantSplit/>
        </w:trPr>
        <w:tc>
          <w:tcPr>
            <w:tcW w:type="dxa" w:w="504"/>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4</w:t>
            </w:r>
          </w:p>
        </w:tc>
        <w:tc>
          <w:tcPr>
            <w:tcW w:type="dxa" w:w="2088"/>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UOSA P2NR+, IFB 27-02, Northern Virginia public infrastructure</w:t>
            </w:r>
          </w:p>
        </w:tc>
        <w:tc>
          <w:tcPr>
            <w:tcW w:type="dxa" w:w="259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Public owner's page shows issued August 24, 2026; close October 22, 2026, 2 pm; status Issued. Page lists pre-bid September 22, 10 pm — verify this unusual displayed time against solicitation</w:t>
            </w:r>
          </w:p>
        </w:tc>
        <w:tc>
          <w:tcPr>
            <w:tcW w:type="dxa" w:w="2304"/>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Potential future materials/PO financing for a qualified awarded supplier or subcontractor</w:t>
            </w:r>
          </w:p>
        </w:tc>
        <w:tc>
          <w:tcPr>
            <w:tcW w:type="dxa" w:w="2736"/>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7"/>
              </w:rPr>
              <w:t>Full IFB and addenda; eligibility and meeting requirements; award; actual signed PO; supplier costs; acceptance/payment conditions; no contract amount or supplier demand established</w:t>
            </w:r>
          </w:p>
        </w:tc>
      </w:tr>
    </w:tbl>
    <w:p/>
    <w:p>
      <w:pPr>
        <w:pStyle w:val="Heading2"/>
      </w:pPr>
      <w:r>
        <w:t>Primary links and refresh result</w:t>
      </w:r>
    </w:p>
    <w:p>
      <w:r>
        <w:t>The $65,000 2022 Salem machine was reproduced on the fresh seller inventory and its detail page resolved. It is rank 1 and the sole asset price used in the equipment model. The remaining shortlist has four actionable research leads, each still requiring sponsor demand and diligence.</w:t>
      </w:r>
    </w:p>
    <w:p>
      <w:r>
        <w:t>Historical/unconfirmed reference, excluded from the actionable shortlist: the 2023 Cat 259D3, Richmond, $65,500, 573 hours, stock 5057810T0, serial CW926465, appeared in the indexed seller inventory response. A same-day refresh of its detail URL returned 404 and the fresh inventory excerpt did not reproduce it. No current availability is established; it is not used in the financing model.</w:t>
      </w:r>
    </w:p>
    <w:p>
      <w:pPr>
        <w:pStyle w:val="ListBullet"/>
      </w:pPr>
      <w:r/>
      <w:hyperlink r:id="rId10">
        <w:r>
          <w:rPr>
            <w:color w:val="245C55"/>
          </w:rPr>
          <w:t>2022 Cat 259D3 seller detail, listing 259317753</w:t>
        </w:r>
      </w:hyperlink>
      <w:r>
        <w:t>, stock C5061890, resolved on second inspection.</w:t>
      </w:r>
    </w:p>
    <w:p>
      <w:pPr>
        <w:pStyle w:val="ListBullet"/>
      </w:pPr>
      <w:r/>
      <w:hyperlink r:id="rId11">
        <w:r>
          <w:rPr>
            <w:color w:val="245C55"/>
          </w:rPr>
          <w:t>2023 Cat 259D3 seller detail, listing 254805377 — returned 404 during refresh</w:t>
        </w:r>
      </w:hyperlink>
      <w:r>
        <w:t>.</w:t>
      </w:r>
    </w:p>
    <w:p>
      <w:pPr>
        <w:pStyle w:val="ListBullet"/>
      </w:pPr>
      <w:r>
        <w:t xml:space="preserve">Equipment source: </w:t>
      </w:r>
      <w:hyperlink r:id="rId12">
        <w:r>
          <w:rPr>
            <w:color w:val="245C55"/>
          </w:rPr>
          <w:t>Carter Machinery seller inventory</w:t>
        </w:r>
      </w:hyperlink>
      <w:r>
        <w:t>. Match serial/stock numbers because inventory pages change. The seller listing supplies asset observations; it supplies no borrower demand evidence.</w:t>
      </w:r>
    </w:p>
    <w:p>
      <w:pPr>
        <w:pStyle w:val="ListBullet"/>
      </w:pPr>
      <w:r>
        <w:t xml:space="preserve">Cooler rank 2: </w:t>
      </w:r>
      <w:hyperlink r:id="rId13">
        <w:r>
          <w:rPr>
            <w:color w:val="245C55"/>
          </w:rPr>
          <w:t>WebstaurantStore seller product listing</w:t>
        </w:r>
      </w:hyperlink>
      <w:r>
        <w:t>. Seller says this item is not stocked in its warehouse and availability/timing vary. Refrigeration capacity must suit actual product load.</w:t>
      </w:r>
    </w:p>
    <w:p>
      <w:pPr>
        <w:pStyle w:val="ListBullet"/>
      </w:pPr>
      <w:r>
        <w:t xml:space="preserve">Solar rank 3: </w:t>
      </w:r>
      <w:hyperlink r:id="rId14">
        <w:r>
          <w:rPr>
            <w:color w:val="245C55"/>
          </w:rPr>
          <w:t>Signature Solar seller catalog</w:t>
        </w:r>
      </w:hyperlink>
      <w:r>
        <w:t>. Model names are not a verified installed solar-array capacity. Options can change price.</w:t>
      </w:r>
    </w:p>
    <w:p>
      <w:pPr>
        <w:pStyle w:val="ListBullet"/>
      </w:pPr>
      <w:r>
        <w:t xml:space="preserve">Procurement rank 4: </w:t>
      </w:r>
      <w:hyperlink r:id="rId15">
        <w:r>
          <w:rPr>
            <w:color w:val="245C55"/>
          </w:rPr>
          <w:t>UOSA current solicitations</w:t>
        </w:r>
      </w:hyperlink>
      <w:r>
        <w:t>. Only the October 22 close is still prospective relative to this research date. Other entries on that page include past close dates and a canceled solicitation; they were not treated as available opportunities.</w:t>
      </w:r>
    </w:p>
    <w:p>
      <w:pPr>
        <w:pStyle w:val="ListBullet"/>
      </w:pPr>
      <w:r/>
      <w:hyperlink r:id="rId16">
        <w:r>
          <w:rPr>
            <w:color w:val="245C55"/>
          </w:rPr>
          <w:t>Virginia eVA official marketplace</w:t>
        </w:r>
      </w:hyperlink>
      <w:r>
        <w:t xml:space="preserve"> offers opportunity, supplier, order and contract searches. A solicitation is not a signed purchase order or a receivable.</w:t>
      </w:r>
    </w:p>
    <w:p>
      <w:pPr>
        <w:pStyle w:val="Heading1"/>
      </w:pPr>
      <w:r>
        <w:t>Worked cash flow 1  equipment financing</w:t>
      </w:r>
    </w:p>
    <w:p>
      <w:r>
        <w:t>The $65,000 seller price is observed. Every financing, investor, cost, and operating input below is an illustrative assumption, not a seller quote or offered return. Taxes, delivery and attachments are excluded and require a final project budget.</w:t>
      </w:r>
    </w:p>
    <w:tbl>
      <w:tblPr>
        <w:tblW w:type="auto" w:w="0"/>
        <w:tblLayout w:type="fixed"/>
        <w:tblLook w:firstColumn="1" w:firstRow="1" w:lastColumn="0" w:lastRow="0" w:noHBand="0" w:noVBand="1" w:val="04A0"/>
      </w:tblPr>
      <w:tblGrid>
        <w:gridCol w:w="5112"/>
        <w:gridCol w:w="5112"/>
      </w:tblGrid>
      <w:tr>
        <w:trPr>
          <w:cantSplit/>
          <w:tblHeader/>
        </w:trPr>
        <w:tc>
          <w:tcPr>
            <w:tcW w:type="dxa" w:w="5112"/>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8"/>
              </w:rPr>
              <w:t>Item</w:t>
            </w:r>
          </w:p>
        </w:tc>
        <w:tc>
          <w:tcPr>
            <w:tcW w:type="dxa" w:w="5112"/>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8"/>
              </w:rPr>
              <w:t>Illustrative amount</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Asset price</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$65,000</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Sponsor down payment, 20%</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$13,000</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Investor-funded principal, 80%</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$52,000</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Borrower nominal annual rate, monthly accrual</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12%</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Fully amortizing term</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36 months</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Monthly borrower payment</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$1,727.14</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Total scheduled payments</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$62,177.19</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Total scheduled interest</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$10,177.19</w:t>
            </w:r>
          </w:p>
        </w:tc>
      </w:tr>
    </w:tbl>
    <w:p/>
    <w:p>
      <w:r>
        <w:t>Formula: payment = P × (annual rate / 12) ÷ [1 − (1 + annual rate / 12)^−36]. Rounding the displayed payment creates a small final-payment adjustment.</w:t>
      </w:r>
    </w:p>
    <w:p>
      <w:r>
        <w:t>Economics reconcile to the B1C plan: 12% gross borrower rate less 2% servicing and 1.5% annual expected principal losses = 8.5% expected net investor economic income, each measured against the same outstanding principal exposure. Expected principal losses are a modeled economic cost, not a funded reserve, deducted cash allocation, guarantee, or promise of a particular outcome. Before realized losses, investors would receive contractual cash interest equivalent to 10% of outstanding principal after the 2% servicing charge; actual net economics depend on principal recovered.</w:t>
      </w:r>
    </w:p>
    <w:p>
      <w:r>
        <w:t>Across the scheduled amortization, the model produces approximately $7,208.84 expected investor economic income, $1,696.20 servicing revenue before company costs, and $1,272.15 expected principal-loss cost. These reconcile to $10,177.19 gross scheduled interest; they are lifetime exposure-based estimates, not three years of yield on unchanged original principal. The loss model uses an annual 1.5% rate on outstanding exposure, rather than a single 1.5% deduction on initial principal.</w:t>
      </w:r>
    </w:p>
    <w:p>
      <w:r>
        <w:t>Charge the borrower a separate 2% origination fee on the $52,000 advance = $1,040, assumed paid in cash at closing rather than financed or withheld. Sponsor closing cash therefore becomes $14,040 ($13,000 down payment + $1,040 fee), before tax/delivery/other costs. The borrower receives the full $52,000 principal for the asset purchase. B1C has $1,040 origination revenue plus the modeled $1,696.20 servicing revenue, before actual underwriting, servicing and operating costs. This fee is separate from the 12% nominal rate and increases the borrower's effective financing cost. Investor principal is returned separately; neither principal nor expected loss is company revenue.</w:t>
      </w:r>
    </w:p>
    <w:p>
      <w:r>
        <w:t>Assume the contractor generates $2,400 monthly cash available before debt service after direct operating costs. Coverage is 1.39× ($2,400 / $1,727.14), leaving $672.86. At $1,800 available, coverage falls to 1.04× and only $72.86 remains. This illustrates why signed work and whole-business cash flow matter more than an attractive asset listing. Neither income assumption was verified.</w:t>
      </w:r>
    </w:p>
    <w:p>
      <w:pPr>
        <w:pStyle w:val="Heading1"/>
      </w:pPr>
      <w:r>
        <w:t>Worked cash flow 2  a purchase order after award</w:t>
      </w:r>
    </w:p>
    <w:p>
      <w:r>
        <w:t>Entirely hypothetical financing example. Not the UOSA contract price, terms, or an awarded opportunity. A public solicitation provides a research route, not a borrowing customer.</w:t>
      </w:r>
    </w:p>
    <w:tbl>
      <w:tblPr>
        <w:tblW w:type="auto" w:w="0"/>
        <w:tblLayout w:type="fixed"/>
        <w:tblLook w:firstColumn="1" w:firstRow="1" w:lastColumn="0" w:lastRow="0" w:noHBand="0" w:noVBand="1" w:val="04A0"/>
      </w:tblPr>
      <w:tblGrid>
        <w:gridCol w:w="5112"/>
        <w:gridCol w:w="5112"/>
      </w:tblGrid>
      <w:tr>
        <w:trPr>
          <w:cantSplit/>
          <w:tblHeader/>
        </w:trPr>
        <w:tc>
          <w:tcPr>
            <w:tcW w:type="dxa" w:w="5112"/>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8"/>
              </w:rPr>
              <w:t>Cash item</w:t>
            </w:r>
          </w:p>
        </w:tc>
        <w:tc>
          <w:tcPr>
            <w:tcW w:type="dxa" w:w="5112"/>
            <w:shd w:fill="193D36"/>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b/>
                <w:color w:val="FFFFFF"/>
                <w:sz w:val="18"/>
              </w:rPr>
              <w:t>Assumed amount</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Signed customer purchase order after award</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$100,000</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Supplier acquisition cost paid directly to verified supplier</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$70,000</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Borrower cash for freight/fulfillment</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$5,000</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Investor advance, days outstanding</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$70,000 / 90 days</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Financing charge, simple 12% × 90/365</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$2,071.23</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Separate origination fee, 2% of advance, borrower cash at closing</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$1,400</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Customer receipt on day 90</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$100,000</w:t>
            </w:r>
          </w:p>
        </w:tc>
      </w:tr>
      <w:tr>
        <w:trPr>
          <w:cantSplit/>
        </w:trPr>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Principal repayment</w:t>
            </w:r>
          </w:p>
        </w:tc>
        <w:tc>
          <w:tcPr>
            <w:tcW w:type="dxa" w:w="5112"/>
            <w:shd w:fill="EEF3EE"/>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$70,000</w:t>
            </w:r>
          </w:p>
        </w:tc>
      </w:tr>
      <w:tr>
        <w:trPr>
          <w:cantSplit/>
        </w:trPr>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Borrower's net project surplus after repayment, financing charge, own $5,000 and $1,400 fee</w:t>
            </w:r>
          </w:p>
        </w:tc>
        <w:tc>
          <w:tcPr>
            <w:tcW w:type="dxa" w:w="5112"/>
            <w:shd w:fill="FFFFFF"/>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80" w:line="240" w:lineRule="auto"/>
            </w:pPr>
            <w:r>
              <w:rPr>
                <w:sz w:val="18"/>
              </w:rPr>
              <w:t>$21,528.77</w:t>
            </w:r>
          </w:p>
        </w:tc>
      </w:tr>
    </w:tbl>
    <w:p/>
    <w:p>
      <w:r>
        <w:t>Apply the same B1C plan assumptions to the advance-days: 12% gross, 2% servicing, 1.5% annual expected principal-loss cost, and 8.5% expected investor economic income. Over 90 days these are $2,071.23 gross financing charge, $345.21 servicing revenue, $258.90 expected principal-loss cost, and $1,467.12 expected investor economic income. The investor's modeled net holding-period economic return is 2.10% on $70,000 (8.5% × 90/365), not 8.5% earned in 90 days. Before actual losses, cash interest after servicing is $1,726.03. The expected loss is an economic estimate, not money placed in a funded reserve.</w:t>
      </w:r>
    </w:p>
    <w:p>
      <w:r>
        <w:t>The 2% origination fee adds $1,400 company revenue, separate from interest and servicing; no extra borrower fee is hidden in the modeled 12% nominal rate. Borrower cash at closing is $6,400 ($5,000 fulfillment + $1,400 fee). At day 90 the $100,000 receipt less $70,000 principal and $2,071.23 financing charge leaves $27,928.77 cash, or $21,528.77 net surplus after the closing cash outlay. B1C's modeled $1,745.21 origination plus servicing revenue remains before its operating costs.</w:t>
      </w:r>
    </w:p>
    <w:p>
      <w:r>
        <w:t>At 150 days with full payment and continued accrual, gross financing charges become $3,452.05, servicing $575.34, expected principal-loss cost $431.51 and expected investor economic income $2,445.21. The borrower's net surplus after the same $5,000 operating cash and $1,400 origination fee is $20,147.95. Investor liquidity is delayed 60 days. Nonpayment must be modeled with explicit recoveries and realized losses; accrued interest is not a cash receipt. Neither cash-flow example constitutes a current offer or a committed return.</w:t>
      </w:r>
    </w:p>
    <w:p>
      <w:pPr>
        <w:pStyle w:val="Heading1"/>
      </w:pPr>
      <w:r>
        <w:t>Board approval checklist</w:t>
      </w:r>
    </w:p>
    <w:p>
      <w:r>
        <w:t>1. Verify the sponsor, operating history, ownership, financial statements, existing debt and available contribution.</w:t>
      </w:r>
    </w:p>
    <w:p>
      <w:r>
        <w:t>2. Refresh written quotes, availability, serial numbers, equipment condition, liens, delivery, tax and full installed cost.</w:t>
      </w:r>
    </w:p>
    <w:p>
      <w:r>
        <w:t>3. Establish repayment evidence: signed leases/contracts, actual historical receipts, or a directly authenticated awarded PO and customer acceptance requirements.</w:t>
      </w:r>
    </w:p>
    <w:p>
      <w:r>
        <w:t>4. Underwrite base and downside cash flow: lower utilization, delay, repair cost, price decline and nonpayment. Document repayment coverage and recovery assumptions.</w:t>
      </w:r>
    </w:p>
    <w:p>
      <w:r>
        <w:t>5. Specify project company, asset ownership, contractual rights, insurance, custody, payment control and servicing responsibilities. Record conflicts and recusals.</w:t>
      </w:r>
    </w:p>
    <w:p>
      <w:r>
        <w:t>6. Separate company operating equity, investor project principal, reserves and revenue in the accounts and dashboard.</w:t>
      </w:r>
    </w:p>
    <w:p>
      <w:r>
        <w:t>7. Board approval records must contain actual participants, votes, conditions, amount cap and expiry. Demo votes never constitute approval.</w:t>
      </w:r>
    </w:p>
    <w:p>
      <w:r>
        <w:t>8. Test USD/stablecoin funding and redemption routes before any real transaction. BCH transaction records do not independently prove an asset, order, or customer payment.</w:t>
      </w:r>
    </w:p>
    <w:p>
      <w:r>
        <w:t>9. Publish investor terms only after economics, costs, execution arrangements and source documents are verified. Record gross versus net returns and payment timing.</w:t>
      </w:r>
    </w:p>
    <w:p>
      <w:pPr>
        <w:pStyle w:val="Heading1"/>
      </w:pPr>
      <w:r>
        <w:t>Completion boundary</w:t>
      </w:r>
    </w:p>
    <w:p>
      <w:r>
        <w:t>Completed: public asset/solicitation research, ranked pilot candidates (four actionable research leads plus one historical/unconfirmed price reference), two internally reconciled illustrative cash flows, and underwriting checklist. Outstanding: borrower sourcing and consent, current quotations, full diligence, actual board approval and execution providers. This research does not establish a funded portfolio or operating platform.</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Bankers First Choice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carterused.com/inventory/?%2Flisting%2Ffor-sale%2F259317753%2F2022-caterpillar-259d3-track-skid-steers%3Fdlr=1&amp;dscompanyid=9960&amp;settingscrmid=26752" TargetMode="External"/><Relationship Id="rId11" Type="http://schemas.openxmlformats.org/officeDocument/2006/relationships/hyperlink" Target="https://www.carterused.com/inventory/?%2Flisting%2Ffor-sale%2F254805377%2F2023-caterpillar-259d3-track-skid-steers%3Fdlr=1&amp;dscompanyid=9960&amp;settingscrmid=26752" TargetMode="External"/><Relationship Id="rId12" Type="http://schemas.openxmlformats.org/officeDocument/2006/relationships/hyperlink" Target="https://www.carterused.com/inventory/all/" TargetMode="External"/><Relationship Id="rId13" Type="http://schemas.openxmlformats.org/officeDocument/2006/relationships/hyperlink" Target="https://www.webstaurantstore.com/amerikooler-qc081072-nbsc-8-x-10-x-7-2-quick-ship-floorless-indoor-walk-in-cooler-with-top-mounted-refrigeration/469QM0810NIS.html" TargetMode="External"/><Relationship Id="rId14" Type="http://schemas.openxmlformats.org/officeDocument/2006/relationships/hyperlink" Target="https://signaturesolar.com/all-products/kits-bundles/" TargetMode="External"/><Relationship Id="rId15" Type="http://schemas.openxmlformats.org/officeDocument/2006/relationships/hyperlink" Target="https://uosa.org/current-solicitations/" TargetMode="External"/><Relationship Id="rId16" Type="http://schemas.openxmlformats.org/officeDocument/2006/relationships/hyperlink" Target="https://eva.virginia.gov/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