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Bankers First Choice</w:t>
      </w:r>
    </w:p>
    <w:p>
      <w:pPr>
        <w:pStyle w:val="Subtitle"/>
      </w:pPr>
      <w:r>
        <w:t>Investor business plan</w:t>
      </w:r>
    </w:p>
    <w:p>
      <w:r>
        <w:t>BCH infrastructure and real asset project finance</w:t>
      </w:r>
    </w:p>
    <w:p>
      <w:r>
        <w:t>Research date  October 18 2026</w:t>
        <w:br/>
        <w:t>Planning periods  2027 to 2029</w:t>
      </w:r>
    </w:p>
    <w:p>
      <w:pPr>
        <w:pStyle w:val="Heading2"/>
      </w:pPr>
      <w:r>
        <w:t>Investment thesis</w:t>
      </w:r>
    </w:p>
    <w:p>
      <w:r>
        <w:t>Bankers First Choice proposes a digital platform that connects everyday investors with board-approved, income-producing business projects. Customers explore investments in dollars, fund through supported payment channels, and receive clear project reporting. Bitcoin Cash infrastructure supports participation records and transaction workflows; stablecoins provide a dollar-denominated settlement option.</w:t>
      </w:r>
    </w:p>
    <w:p>
      <w:r>
        <w:t>The proposed business earns origination and recurring servicing fees. Equipment, contracted orders, and other operating projects generate investor cash flow. This links the commercial proposition to identifiable economic activity and allows B1C to scale without financing its entire project portfolio from company equity.</w:t>
      </w:r>
    </w:p>
    <w:tbl>
      <w:tblPr>
        <w:tblW w:type="auto" w:w="0"/>
        <w:jc w:val="center"/>
        <w:tblLayout w:type="fixed"/>
        <w:tblLook w:firstColumn="1" w:firstRow="1" w:lastColumn="0" w:lastRow="0" w:noHBand="0" w:noVBand="1" w:val="04A0"/>
      </w:tblPr>
      <w:tblGrid>
        <w:gridCol w:w="5112"/>
        <w:gridCol w:w="5112"/>
      </w:tblGrid>
      <w:tr>
        <w:trPr>
          <w:cantSplit/>
          <w:tblHeader/>
        </w:trPr>
        <w:tc>
          <w:tcPr>
            <w:tcW w:type="dxa" w:w="360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Proposed financing</w:t>
            </w:r>
          </w:p>
        </w:tc>
        <w:tc>
          <w:tcPr>
            <w:tcW w:type="dxa" w:w="66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Base case outcome</w:t>
            </w:r>
          </w:p>
        </w:tc>
      </w:tr>
      <w:tr>
        <w:trPr>
          <w:cantSplit/>
        </w:trPr>
        <w:tc>
          <w:tcPr>
            <w:tcW w:type="dxa" w:w="360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Operating company equity raise</w:t>
            </w:r>
          </w:p>
        </w:tc>
        <w:tc>
          <w:tcPr>
            <w:tcW w:type="dxa" w:w="66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$1.25 million at launch; valuation and terms to be negotiated</w:t>
            </w:r>
          </w:p>
        </w:tc>
      </w:tr>
      <w:tr>
        <w:trPr>
          <w:cantSplit/>
        </w:trPr>
        <w:tc>
          <w:tcPr>
            <w:tcW w:type="dxa" w:w="360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Separate project investor capital</w:t>
            </w:r>
          </w:p>
        </w:tc>
        <w:tc>
          <w:tcPr>
            <w:tcW w:type="dxa" w:w="66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$5 million / $15 million / $30 million annual originations</w:t>
            </w:r>
          </w:p>
        </w:tc>
      </w:tr>
      <w:tr>
        <w:trPr>
          <w:cantSplit/>
        </w:trPr>
        <w:tc>
          <w:tcPr>
            <w:tcW w:type="dxa" w:w="360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Annual operating profitability</w:t>
            </w:r>
          </w:p>
        </w:tc>
        <w:tc>
          <w:tcPr>
            <w:tcW w:type="dxa" w:w="66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Year 3 EBITDA of $247,000</w:t>
            </w:r>
          </w:p>
        </w:tc>
      </w:tr>
      <w:tr>
        <w:trPr>
          <w:cantSplit/>
        </w:trPr>
        <w:tc>
          <w:tcPr>
            <w:tcW w:type="dxa" w:w="360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Year 3 company net income</w:t>
            </w:r>
          </w:p>
        </w:tc>
        <w:tc>
          <w:tcPr>
            <w:tcW w:type="dxa" w:w="66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$166,500 under an illustrative tax assumption</w:t>
            </w:r>
          </w:p>
        </w:tc>
      </w:tr>
      <w:tr>
        <w:trPr>
          <w:cantSplit/>
        </w:trPr>
        <w:tc>
          <w:tcPr>
            <w:tcW w:type="dxa" w:w="360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Year 3 ending company cash</w:t>
            </w:r>
          </w:p>
        </w:tc>
        <w:tc>
          <w:tcPr>
            <w:tcW w:type="dxa" w:w="66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$891,500; project money excluded</w:t>
            </w:r>
          </w:p>
        </w:tc>
      </w:tr>
    </w:tbl>
    <w:p/>
    <w:p>
      <w:r>
        <w:t>All B1C structures, rates, budgets, customers, and forecasts in this plan are proposed assumptions unless identified as sourced facts. No funded pipeline, appointed management team, executed partner agreement, or operating results are represented. Forecast returns are targets, and project income and principal collections determine actual distributions.</w:t>
      </w:r>
    </w:p>
    <w:p>
      <w:r>
        <w:t>The plan recommends a BCH-centered, dual-network launch: CashTokens on BCH for participation records, with native dollar stablecoin settlement on an issuer-supported network. A fully BCH-native dollar settlement product is a separate development decision with its own acceptance tests.</w:t>
      </w:r>
    </w:p>
    <w:p>
      <w:pPr>
        <w:pStyle w:val="Heading1"/>
        <w:pageBreakBefore/>
      </w:pPr>
      <w:r>
        <w:t>1 Business model and customer proposition</w:t>
      </w:r>
    </w:p>
    <w:p>
      <w:pPr>
        <w:pStyle w:val="Heading2"/>
      </w:pPr>
      <w:r>
        <w:t>Who the platform serves</w:t>
      </w:r>
    </w:p>
    <w:p>
      <w:r>
        <w:t>The initial investor customer is an adult who already understands savings, scheduled income, and business lending but wants a simpler route into digital assets and tangible projects. The proposed opening market is the United States, beginning with a concentrated Mid-Atlantic sponsor network. Geography is a planning choice, not evidence of existing customers.</w:t>
      </w:r>
    </w:p>
    <w:p>
      <w:r>
        <w:t>The initial borrower is an established small business seeking $100,000 to $500,000 for productive equipment or a verified commercial order. Repeat sponsors with documented payment history are the preferred growth engine. Larger infrastructure and property projects enter after underwriting and servicing performance can be demonstrated.</w:t>
      </w:r>
    </w:p>
    <w:p>
      <w:pPr>
        <w:pStyle w:val="Heading2"/>
      </w:pPr>
      <w:r>
        <w:t>Products and economics</w:t>
      </w:r>
    </w:p>
    <w:tbl>
      <w:tblPr>
        <w:tblW w:type="auto" w:w="0"/>
        <w:jc w:val="center"/>
        <w:tblLayout w:type="fixed"/>
        <w:tblLook w:firstColumn="1" w:firstRow="1" w:lastColumn="0" w:lastRow="0" w:noHBand="0" w:noVBand="1" w:val="04A0"/>
      </w:tblPr>
      <w:tblGrid>
        <w:gridCol w:w="3408"/>
        <w:gridCol w:w="3408"/>
        <w:gridCol w:w="3408"/>
      </w:tblGrid>
      <w:tr>
        <w:trPr>
          <w:cantSplit/>
          <w:tblHeader/>
        </w:trPr>
        <w:tc>
          <w:tcPr>
            <w:tcW w:type="dxa" w:w="180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Product</w:t>
            </w:r>
          </w:p>
        </w:tc>
        <w:tc>
          <w:tcPr>
            <w:tcW w:type="dxa" w:w="525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Investor experience</w:t>
            </w:r>
          </w:p>
        </w:tc>
        <w:tc>
          <w:tcPr>
            <w:tcW w:type="dxa" w:w="316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B1C economics</w:t>
            </w:r>
          </w:p>
        </w:tc>
      </w:tr>
      <w:tr>
        <w:trPr>
          <w:cantSplit/>
        </w:trPr>
        <w:tc>
          <w:tcPr>
            <w:tcW w:type="dxa" w:w="180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Project Income</w:t>
            </w:r>
          </w:p>
        </w:tc>
        <w:tc>
          <w:tcPr>
            <w:tcW w:type="dxa" w:w="525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Select a named project, repayment schedule, security package and maturity</w:t>
            </w:r>
          </w:p>
        </w:tc>
        <w:tc>
          <w:tcPr>
            <w:tcW w:type="dxa" w:w="316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2% origination and 2% annual servicing on outstanding principal</w:t>
            </w:r>
          </w:p>
        </w:tc>
      </w:tr>
      <w:tr>
        <w:trPr>
          <w:cantSplit/>
        </w:trPr>
        <w:tc>
          <w:tcPr>
            <w:tcW w:type="dxa" w:w="180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Diversified Income</w:t>
            </w:r>
          </w:p>
        </w:tc>
        <w:tc>
          <w:tcPr>
            <w:tcW w:type="dxa" w:w="525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Allocate across eligible projects under published concentration rules</w:t>
            </w:r>
          </w:p>
        </w:tc>
        <w:tc>
          <w:tcPr>
            <w:tcW w:type="dxa" w:w="316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Same project fees; no additional portfolio fee in forecast</w:t>
            </w:r>
          </w:p>
        </w:tc>
      </w:tr>
      <w:tr>
        <w:trPr>
          <w:cantSplit/>
        </w:trPr>
        <w:tc>
          <w:tcPr>
            <w:tcW w:type="dxa" w:w="180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Sponsor Administration</w:t>
            </w:r>
          </w:p>
        </w:tc>
        <w:tc>
          <w:tcPr>
            <w:tcW w:type="dxa" w:w="525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Reporting, payment scheduling and project document management</w:t>
            </w:r>
          </w:p>
        </w:tc>
        <w:tc>
          <w:tcPr>
            <w:tcW w:type="dxa" w:w="316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Annual sponsor subscriptions; $25k / $60k / $120k total revenue</w:t>
            </w:r>
          </w:p>
        </w:tc>
      </w:tr>
    </w:tbl>
    <w:p/>
    <w:p>
      <w:r>
        <w:t>Project Income launches first. A diversified product follows only after sufficient unrelated projects exist. Cash awaiting investment remains separately identified and is not marketed as a yield product. Subscriptions assume 25, 60 and 120 average paid sponsor accounts at $1,000 annually, including administrative customers without a funded project that year. No company-issued stablecoin, speculative BCH appreciation, trading profits, or customer float income is included in the business case.</w:t>
      </w:r>
    </w:p>
    <w:p>
      <w:pPr>
        <w:pStyle w:val="Heading2"/>
      </w:pPr>
      <w:r>
        <w:t>Why customers choose B1C</w:t>
      </w:r>
    </w:p>
    <w:p>
      <w:r>
        <w:t>The proposed advantages are clear project selection, smaller participation amounts, dollar reporting, scheduled distributions, visible sponsor participation, and traceable funding releases. The investment page explains the asset, the source of repayment, all fees, maturity, expected loss assumptions, and progress against the original budget.</w:t>
      </w:r>
    </w:p>
    <w:p>
      <w:r>
        <w:t>The opening participation target is $500 per project, subject to final product design and investor eligibility. The commercial forecast assumes much larger average total investor commitments across multiple projects; the minimum ticket alone cannot fund the projected portfolio.</w:t>
      </w:r>
    </w:p>
    <w:p>
      <w:pPr>
        <w:pStyle w:val="Heading2"/>
      </w:pPr>
      <w:r>
        <w:t>How the company creates value</w:t>
      </w:r>
    </w:p>
    <w:p>
      <w:r>
        <w:t>B1C sources and underwrites projects, organizes funding, records allocations, monitors assets and collects payments. Investors supply project capital and receive the project economics after disclosed fees and losses. Company shareholders own the platform earnings. These are distinct investments with distinct cash flows.</w:t>
      </w:r>
    </w:p>
    <w:p>
      <w:pPr>
        <w:pStyle w:val="Heading1"/>
        <w:pageBreakBefore/>
      </w:pPr>
      <w:r>
        <w:t>2 Banking structure and board governance</w:t>
      </w:r>
    </w:p>
    <w:p>
      <w:r>
        <w:t>The Federal Reserve has a Board of Governors, 12 Reserve Banks, and the FOMC. B1C adopts the organizational idea of separated oversight, capital policy and operations. Its committee sets internal pricing and allocation rules; its capacity comes from investor commitments and company capital. [1]</w:t>
      </w:r>
    </w:p>
    <w:tbl>
      <w:tblPr>
        <w:tblW w:type="auto" w:w="0"/>
        <w:jc w:val="center"/>
        <w:tblLayout w:type="fixed"/>
        <w:tblLook w:firstColumn="1" w:firstRow="1" w:lastColumn="0" w:lastRow="0" w:noHBand="0" w:noVBand="1" w:val="04A0"/>
      </w:tblPr>
      <w:tblGrid>
        <w:gridCol w:w="3408"/>
        <w:gridCol w:w="3408"/>
        <w:gridCol w:w="3408"/>
      </w:tblGrid>
      <w:tr>
        <w:trPr>
          <w:cantSplit/>
          <w:tblHeader/>
        </w:trPr>
        <w:tc>
          <w:tcPr>
            <w:tcW w:type="dxa" w:w="180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Function</w:t>
            </w:r>
          </w:p>
        </w:tc>
        <w:tc>
          <w:tcPr>
            <w:tcW w:type="dxa" w:w="388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Traditional structure</w:t>
            </w:r>
          </w:p>
        </w:tc>
        <w:tc>
          <w:tcPr>
            <w:tcW w:type="dxa" w:w="453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Proposed B1C equivalent</w:t>
            </w:r>
          </w:p>
        </w:tc>
      </w:tr>
      <w:tr>
        <w:trPr>
          <w:cantSplit/>
        </w:trPr>
        <w:tc>
          <w:tcPr>
            <w:tcW w:type="dxa" w:w="180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Oversight</w:t>
            </w:r>
          </w:p>
        </w:tc>
        <w:tc>
          <w:tcPr>
            <w:tcW w:type="dxa" w:w="388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Fed Board or commercial bank board</w:t>
            </w:r>
          </w:p>
        </w:tc>
        <w:tc>
          <w:tcPr>
            <w:tcW w:type="dxa" w:w="453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Seven-seat corporate board</w:t>
            </w:r>
          </w:p>
        </w:tc>
      </w:tr>
      <w:tr>
        <w:trPr>
          <w:cantSplit/>
        </w:trPr>
        <w:tc>
          <w:tcPr>
            <w:tcW w:type="dxa" w:w="180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Rate and allocation policy</w:t>
            </w:r>
          </w:p>
        </w:tc>
        <w:tc>
          <w:tcPr>
            <w:tcW w:type="dxa" w:w="388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FOMC or bank asset and liability committee</w:t>
            </w:r>
          </w:p>
        </w:tc>
        <w:tc>
          <w:tcPr>
            <w:tcW w:type="dxa" w:w="453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Capital Policy Committee</w:t>
            </w:r>
          </w:p>
        </w:tc>
      </w:tr>
      <w:tr>
        <w:trPr>
          <w:cantSplit/>
        </w:trPr>
        <w:tc>
          <w:tcPr>
            <w:tcW w:type="dxa" w:w="180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Origination and operations</w:t>
            </w:r>
          </w:p>
        </w:tc>
        <w:tc>
          <w:tcPr>
            <w:tcW w:type="dxa" w:w="388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Reserve Banks or commercial banking units</w:t>
            </w:r>
          </w:p>
        </w:tc>
        <w:tc>
          <w:tcPr>
            <w:tcW w:type="dxa" w:w="453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Sector underwriting teams and project companies</w:t>
            </w:r>
          </w:p>
        </w:tc>
      </w:tr>
      <w:tr>
        <w:trPr>
          <w:cantSplit/>
        </w:trPr>
        <w:tc>
          <w:tcPr>
            <w:tcW w:type="dxa" w:w="180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Funding</w:t>
            </w:r>
          </w:p>
        </w:tc>
        <w:tc>
          <w:tcPr>
            <w:tcW w:type="dxa" w:w="388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Central bank resources or commercial bank funding</w:t>
            </w:r>
          </w:p>
        </w:tc>
        <w:tc>
          <w:tcPr>
            <w:tcW w:type="dxa" w:w="453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Project subscriptions and sponsor equity</w:t>
            </w:r>
          </w:p>
        </w:tc>
      </w:tr>
      <w:tr>
        <w:trPr>
          <w:cantSplit/>
        </w:trPr>
        <w:tc>
          <w:tcPr>
            <w:tcW w:type="dxa" w:w="180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Earnings objective</w:t>
            </w:r>
          </w:p>
        </w:tc>
        <w:tc>
          <w:tcPr>
            <w:tcW w:type="dxa" w:w="388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Public mandate or bank shareholder earnings</w:t>
            </w:r>
          </w:p>
        </w:tc>
        <w:tc>
          <w:tcPr>
            <w:tcW w:type="dxa" w:w="453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Fee income, retention and shareholder cash generation</w:t>
            </w:r>
          </w:p>
        </w:tc>
      </w:tr>
    </w:tbl>
    <w:p/>
    <w:p>
      <w:pPr>
        <w:pStyle w:val="Heading2"/>
      </w:pPr>
      <w:r>
        <w:t>Board composition and decisions</w:t>
      </w:r>
    </w:p>
    <w:p>
      <w:r>
        <w:t>Propose seven seats: founder CEO, finance and treasury executive, lead operating-company investor representative, and four independent directors covering commercial credit, BCH technology and custody, operating assets, and customer protection and audit. Names and appointments remain open. Annual elections, staggered committee service and a documented skills matrix preserve accountability.</w:t>
      </w:r>
    </w:p>
    <w:p>
      <w:r>
        <w:t>Quorum is five directors, including three independents. Ordinary decisions require a majority of those voting. New asset classes, company capital commitments, related-party transactions and material policy changes require five affirmative votes, including three independents. An interested director recuses; such a matter requires a majority of all disinterested directors and at least three independent approvals. Otherwise it is deferred.</w:t>
      </w:r>
    </w:p>
    <w:p>
      <w:pPr>
        <w:pStyle w:val="Heading2"/>
      </w:pPr>
      <w:r>
        <w:t>Committee authority</w:t>
      </w:r>
    </w:p>
    <w:p>
      <w:r>
        <w:t>The Credit Committee has three voting directors, at least two independent, supported by nonvoting underwriters. It recommends projects; the board approves every initial project before crowdfunding opens. A five-business-day board decision target starts only when the evidence package is complete. Any later delegation requires an explicit board resolution.</w:t>
      </w:r>
    </w:p>
    <w:p>
      <w:r>
        <w:t>The Capital Policy Committee reviews benchmarks, funding maturities, pricing and concentration monthly. The Audit and Treasury Committee oversees reconciliations, custody controls, reserves and financial reporting. The Technology Committee approves contracts, wallet procedures and recovery tests. Committees may share directors but cannot approve their own unresolved exceptions.</w:t>
      </w:r>
    </w:p>
    <w:p>
      <w:r>
        <w:t>The board meets monthly during launch and at least quarterly thereafter. Each approval records budget, sponsor contribution, collateral, repayment analysis, fees, permitted transfers, milestone evidence and dissent. Investors receive a concise approval summary; private customer information remains access-controlled.</w:t>
      </w:r>
    </w:p>
    <w:p>
      <w:pPr>
        <w:pStyle w:val="Heading1"/>
        <w:pageBreakBefore/>
      </w:pPr>
      <w:r>
        <w:t>3 BCH architecture and settlement</w:t>
      </w:r>
    </w:p>
    <w:p>
      <w:r>
        <w:t>CashTokens provides native fungible and nonfungible token capabilities on Bitcoin Cash. The protocol can support asset-related representations and programmable contracts, but token issuance alone does not establish ownership or enforce a project agreement. Signed project documents and the investor register define participation rights. [2]</w:t>
      </w:r>
    </w:p>
    <w:tbl>
      <w:tblPr>
        <w:tblW w:type="auto" w:w="0"/>
        <w:jc w:val="center"/>
        <w:tblLayout w:type="fixed"/>
        <w:tblLook w:firstColumn="1" w:firstRow="1" w:lastColumn="0" w:lastRow="0" w:noHBand="0" w:noVBand="1" w:val="04A0"/>
      </w:tblPr>
      <w:tblGrid>
        <w:gridCol w:w="3408"/>
        <w:gridCol w:w="3408"/>
        <w:gridCol w:w="3408"/>
      </w:tblGrid>
      <w:tr>
        <w:trPr>
          <w:cantSplit/>
          <w:tblHeader/>
        </w:trPr>
        <w:tc>
          <w:tcPr>
            <w:tcW w:type="dxa" w:w="180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Layer</w:t>
            </w:r>
          </w:p>
        </w:tc>
        <w:tc>
          <w:tcPr>
            <w:tcW w:type="dxa" w:w="460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Launch design</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Acceptance evidence</w:t>
            </w:r>
          </w:p>
        </w:tc>
      </w:tr>
      <w:tr>
        <w:trPr>
          <w:cantSplit/>
        </w:trPr>
        <w:tc>
          <w:tcPr>
            <w:tcW w:type="dxa" w:w="180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Customer interface</w:t>
            </w:r>
          </w:p>
        </w:tc>
        <w:tc>
          <w:tcPr>
            <w:tcW w:type="dxa" w:w="460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Dollar balances; human-readable project and payment status</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User tests, accurate statements and support procedures</w:t>
            </w:r>
          </w:p>
        </w:tc>
      </w:tr>
      <w:tr>
        <w:trPr>
          <w:cantSplit/>
        </w:trPr>
        <w:tc>
          <w:tcPr>
            <w:tcW w:type="dxa" w:w="180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BCH ledger</w:t>
            </w:r>
          </w:p>
        </w:tc>
        <w:tc>
          <w:tcPr>
            <w:tcW w:type="dxa" w:w="460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CashToken participation records with project identifiers</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Token-aware wallet tests and investor-register reconciliation</w:t>
            </w:r>
          </w:p>
        </w:tc>
      </w:tr>
      <w:tr>
        <w:trPr>
          <w:cantSplit/>
        </w:trPr>
        <w:tc>
          <w:tcPr>
            <w:tcW w:type="dxa" w:w="180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Dollar settlement</w:t>
            </w:r>
          </w:p>
        </w:tc>
        <w:tc>
          <w:tcPr>
            <w:tcW w:type="dxa" w:w="460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Native stablecoin on one issuer-supported network</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Verified token identity, custody access and redemption tests</w:t>
            </w:r>
          </w:p>
        </w:tc>
      </w:tr>
      <w:tr>
        <w:trPr>
          <w:cantSplit/>
        </w:trPr>
        <w:tc>
          <w:tcPr>
            <w:tcW w:type="dxa" w:w="180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Treasury controls</w:t>
            </w:r>
          </w:p>
        </w:tc>
        <w:tc>
          <w:tcPr>
            <w:tcW w:type="dxa" w:w="460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Segregated project accounts; role separation; multiple approvals</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Daily reconciliation and recovery exercises</w:t>
            </w:r>
          </w:p>
        </w:tc>
      </w:tr>
      <w:tr>
        <w:trPr>
          <w:cantSplit/>
        </w:trPr>
        <w:tc>
          <w:tcPr>
            <w:tcW w:type="dxa" w:w="180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Project disbursement</w:t>
            </w:r>
          </w:p>
        </w:tc>
        <w:tc>
          <w:tcPr>
            <w:tcW w:type="dxa" w:w="460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Dollars to verified suppliers or sponsors by milestone</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Invoices, approved release and payment confirmation</w:t>
            </w:r>
          </w:p>
        </w:tc>
      </w:tr>
    </w:tbl>
    <w:p/>
    <w:p>
      <w:pPr>
        <w:pStyle w:val="Heading2"/>
      </w:pPr>
      <w:r>
        <w:t>Why launch uses two networks</w:t>
      </w:r>
    </w:p>
    <w:p>
      <w:r>
        <w:t>Circle’s published USDC network list reviewed for this plan does not include Bitcoin Cash. The base plan therefore uses BCH for project records and a separately supported native USDC network for dollar settlement, with Base as the candidate network subject to provider validation. B1C does not assume USDC exists natively on BCH or silently substitute a bridged token. [3]</w:t>
      </w:r>
    </w:p>
    <w:p>
      <w:r>
        <w:t>Customers may fund using an approved dollar on-ramp, supported native stablecoins, or BCH converted through a verified provider at a disclosed quote. Project obligations remain denominated in dollars. BCH exposure is limited to a small operating fee balance; any customer conversion is completed before investment allocation. Provider selection and executed terms are launch deliverables.</w:t>
      </w:r>
    </w:p>
    <w:p>
      <w:pPr>
        <w:pStyle w:val="Heading2"/>
      </w:pPr>
      <w:r>
        <w:t>End to end money flow</w:t>
      </w:r>
    </w:p>
    <w:p>
      <w:r>
        <w:t>1. Customer chooses an eligible project and accepts its terms. 2. Funding settles into the project’s designated account. 3. B1C reconciles funds, the signed allocation and investor register. 4. A BCH participation record is issued. 5. After the funding threshold and conditions are met, the board-authorized release pays approved project costs. 6. Project collections fund disclosed fees and investor distributions. 7. Repaid participations are retired or marked complete.</w:t>
      </w:r>
    </w:p>
    <w:p>
      <w:r>
        <w:t>If a raise misses its deadline, uncommitted project funds are returned under the published refund terms. Customer subscriptions never fund B1C payroll. Participation transfers initially require an updated investor register and authorized workflow; a liquid secondary market is not assumed.</w:t>
      </w:r>
    </w:p>
    <w:p>
      <w:pPr>
        <w:pStyle w:val="Heading2"/>
      </w:pPr>
      <w:r>
        <w:t>Fully BCH native option</w:t>
      </w:r>
    </w:p>
    <w:p>
      <w:r>
        <w:t>A later BCH dollar asset requires a selected issuer, identifiable backing, custody evidence, executable redemption terms, tested liquidity and independently reviewed contracts. Project loan assets cannot simultaneously count as liquid dollar redemption backing. The forecast includes neither launch revenue from this option nor the cost of operating a new stablecoin issuer.</w:t>
      </w:r>
    </w:p>
    <w:p>
      <w:pPr>
        <w:pStyle w:val="Heading1"/>
        <w:pageBreakBefore/>
      </w:pPr>
      <w:r>
        <w:t>4 Credit policy and investor cash flow</w:t>
      </w:r>
    </w:p>
    <w:p>
      <w:pPr>
        <w:pStyle w:val="Heading2"/>
      </w:pPr>
      <w:r>
        <w:t>Proposed opening underwriting standards</w:t>
      </w:r>
    </w:p>
    <w:p>
      <w:r>
        <w:t>Equipment projects require an independent asset check, documented title and security position, verified customer revenue and maintenance provision. Sponsor cash equity targets 20% of total project cost. Base operating cash flow must cover scheduled debt service at least 1.35 times; a 20% revenue reduction is modeled before approval. These are proposed thresholds, not historical results.</w:t>
      </w:r>
    </w:p>
    <w:p>
      <w:r>
        <w:t>Purchase-order finance requires direct confirmation of the order and buyer, verified supplier pricing, margin after finance costs, delivery evidence and a controlled collection account. No advance is approved solely on a sponsor-provided document. Property and solar require separate technical reviews before launch in those sectors.</w:t>
      </w:r>
    </w:p>
    <w:tbl>
      <w:tblPr>
        <w:tblW w:type="auto" w:w="0"/>
        <w:jc w:val="center"/>
        <w:tblLayout w:type="fixed"/>
        <w:tblLook w:firstColumn="1" w:firstRow="1" w:lastColumn="0" w:lastRow="0" w:noHBand="0" w:noVBand="1" w:val="04A0"/>
      </w:tblPr>
      <w:tblGrid>
        <w:gridCol w:w="5112"/>
        <w:gridCol w:w="5112"/>
      </w:tblGrid>
      <w:tr>
        <w:trPr>
          <w:cantSplit/>
          <w:tblHeader/>
        </w:trPr>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Portfolio rule</w:t>
            </w:r>
          </w:p>
        </w:tc>
        <w:tc>
          <w:tcPr>
            <w:tcW w:type="dxa" w:w="712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Proposed limit or trigger</w:t>
            </w:r>
          </w:p>
        </w:tc>
      </w:tr>
      <w:tr>
        <w:trPr>
          <w:cantSplit/>
        </w:trPr>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Single project</w:t>
            </w:r>
          </w:p>
        </w:tc>
        <w:tc>
          <w:tcPr>
            <w:tcW w:type="dxa" w:w="712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Maximum 10% of diversified portfolio; founding projects disclosed separately</w:t>
            </w:r>
          </w:p>
        </w:tc>
      </w:tr>
      <w:tr>
        <w:trPr>
          <w:cantSplit/>
        </w:trPr>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Single sponsor group</w:t>
            </w:r>
          </w:p>
        </w:tc>
        <w:tc>
          <w:tcPr>
            <w:tcW w:type="dxa" w:w="712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Maximum 15% after initial diversification</w:t>
            </w:r>
          </w:p>
        </w:tc>
      </w:tr>
      <w:tr>
        <w:trPr>
          <w:cantSplit/>
        </w:trPr>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Single sector</w:t>
            </w:r>
          </w:p>
        </w:tc>
        <w:tc>
          <w:tcPr>
            <w:tcW w:type="dxa" w:w="712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Maximum 40% after initial diversification</w:t>
            </w:r>
          </w:p>
        </w:tc>
      </w:tr>
      <w:tr>
        <w:trPr>
          <w:cantSplit/>
        </w:trPr>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Late payment</w:t>
            </w:r>
          </w:p>
        </w:tc>
        <w:tc>
          <w:tcPr>
            <w:tcW w:type="dxa" w:w="712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Contact at 1 day; escalation at 7; formal workout review at 30</w:t>
            </w:r>
          </w:p>
        </w:tc>
      </w:tr>
      <w:tr>
        <w:trPr>
          <w:cantSplit/>
        </w:trPr>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Portfolio stress</w:t>
            </w:r>
          </w:p>
        </w:tc>
        <w:tc>
          <w:tcPr>
            <w:tcW w:type="dxa" w:w="712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Pause new offers in an affected segment when losses exceed its budget</w:t>
            </w:r>
          </w:p>
        </w:tc>
      </w:tr>
      <w:tr>
        <w:trPr>
          <w:cantSplit/>
        </w:trPr>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Customer liquidity</w:t>
            </w:r>
          </w:p>
        </w:tc>
        <w:tc>
          <w:tcPr>
            <w:tcW w:type="dxa" w:w="712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Maturity-based repayment; transfers only through supported process</w:t>
            </w:r>
          </w:p>
        </w:tc>
      </w:tr>
    </w:tbl>
    <w:p/>
    <w:p>
      <w:pPr>
        <w:pStyle w:val="Heading2"/>
      </w:pPr>
      <w:r>
        <w:t>Pricing waterfall</w:t>
      </w:r>
    </w:p>
    <w:p>
      <w:r>
        <w:t>For the forecast’s reference project yield of 12% annually on average outstanding principal, a 2% servicing fee and a 1.5% expected annual net credit loss leave 8.5% expected net investor income before investor-specific taxes. The 2% borrower origination fee is separate and paid at closing. Actual project yields, losses and timing differ.</w:t>
      </w:r>
    </w:p>
    <w:p>
      <w:r>
        <w:t>Investor distributions come from collected project cash. A 1.5% expected loss assumption is an economic forecast, not a funded guarantee or cash reserve. Initial offerings use project-specific sponsor equity and underwriting rather than a company promise to absorb every loss. A separately funded reserve would need a distinct subscription and accounting policy.</w:t>
      </w:r>
    </w:p>
    <w:p>
      <w:pPr>
        <w:pStyle w:val="Heading2"/>
      </w:pPr>
      <w:r>
        <w:t>Payment priority</w:t>
      </w:r>
    </w:p>
    <w:p>
      <w:r>
        <w:t>Collections first cover documented asset-preservation and collection expenses where permitted, then the disclosed servicing fee, then investor interest and principal under the project agreement, followed by sponsor residuals. Costs already included in the modeled servicing budget are not charged again. Principal collections are separately reported and never labeled income.</w:t>
      </w:r>
    </w:p>
    <w:p>
      <w:r>
        <w:t>Daily project reconciliations match account balances, asset records and investor obligations. Monthly statements distinguish cash available, capital outstanding, interest collected, scheduled principal, delinquency, realized losses and fees. A plain-language maturity calendar helps customers plan their investments.</w:t>
      </w:r>
    </w:p>
    <w:p>
      <w:pPr>
        <w:pStyle w:val="Heading1"/>
        <w:pageBreakBefore/>
      </w:pPr>
      <w:r>
        <w:t>5 Project pipeline and equipment pilot</w:t>
      </w:r>
    </w:p>
    <w:p>
      <w:r>
        <w:t>The following are fully specified example opportunities for sourcing and underwriting. Amounts, customers and operating performance are modeled; none is represented as a signed borrower or committed investment. Actual asset quotes and contracts replace these assumptions before a board approval.</w:t>
      </w:r>
    </w:p>
    <w:tbl>
      <w:tblPr>
        <w:tblW w:type="auto" w:w="0"/>
        <w:jc w:val="center"/>
        <w:tblLayout w:type="fixed"/>
        <w:tblLook w:firstColumn="1" w:firstRow="1" w:lastColumn="0" w:lastRow="0" w:noHBand="0" w:noVBand="1" w:val="04A0"/>
      </w:tblPr>
      <w:tblGrid>
        <w:gridCol w:w="2045"/>
        <w:gridCol w:w="2045"/>
        <w:gridCol w:w="2045"/>
        <w:gridCol w:w="2045"/>
        <w:gridCol w:w="2045"/>
      </w:tblGrid>
      <w:tr>
        <w:trPr>
          <w:cantSplit/>
          <w:tblHeader/>
        </w:trPr>
        <w:tc>
          <w:tcPr>
            <w:tcW w:type="dxa" w:w="30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Candidate project</w:t>
            </w:r>
          </w:p>
        </w:tc>
        <w:tc>
          <w:tcPr>
            <w:tcW w:type="dxa" w:w="12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Total cost</w:t>
            </w:r>
          </w:p>
        </w:tc>
        <w:tc>
          <w:tcPr>
            <w:tcW w:type="dxa" w:w="12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Sponsor cash</w:t>
            </w:r>
          </w:p>
        </w:tc>
        <w:tc>
          <w:tcPr>
            <w:tcW w:type="dxa" w:w="151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Investor finance</w:t>
            </w:r>
          </w:p>
        </w:tc>
        <w:tc>
          <w:tcPr>
            <w:tcW w:type="dxa" w:w="324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Term and proposed rate</w:t>
            </w:r>
          </w:p>
        </w:tc>
      </w:tr>
      <w:tr>
        <w:trPr>
          <w:cantSplit/>
        </w:trPr>
        <w:tc>
          <w:tcPr>
            <w:tcW w:type="dxa" w:w="30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Contractor equipment fleet</w:t>
            </w:r>
          </w:p>
        </w:tc>
        <w:tc>
          <w:tcPr>
            <w:tcW w:type="dxa" w:w="12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$312,500</w:t>
            </w:r>
          </w:p>
        </w:tc>
        <w:tc>
          <w:tcPr>
            <w:tcW w:type="dxa" w:w="12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$62,500</w:t>
            </w:r>
          </w:p>
        </w:tc>
        <w:tc>
          <w:tcPr>
            <w:tcW w:type="dxa" w:w="151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$250,000</w:t>
            </w:r>
          </w:p>
        </w:tc>
        <w:tc>
          <w:tcPr>
            <w:tcW w:type="dxa" w:w="324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36 months; 12%</w:t>
            </w:r>
          </w:p>
        </w:tc>
      </w:tr>
      <w:tr>
        <w:trPr>
          <w:cantSplit/>
        </w:trPr>
        <w:tc>
          <w:tcPr>
            <w:tcW w:type="dxa" w:w="30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Commercial solar installation</w:t>
            </w:r>
          </w:p>
        </w:tc>
        <w:tc>
          <w:tcPr>
            <w:tcW w:type="dxa" w:w="12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$625,000</w:t>
            </w:r>
          </w:p>
        </w:tc>
        <w:tc>
          <w:tcPr>
            <w:tcW w:type="dxa" w:w="12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$125,000</w:t>
            </w:r>
          </w:p>
        </w:tc>
        <w:tc>
          <w:tcPr>
            <w:tcW w:type="dxa" w:w="151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$500,000</w:t>
            </w:r>
          </w:p>
        </w:tc>
        <w:tc>
          <w:tcPr>
            <w:tcW w:type="dxa" w:w="324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60 months; 10.5%</w:t>
            </w:r>
          </w:p>
        </w:tc>
      </w:tr>
      <w:tr>
        <w:trPr>
          <w:cantSplit/>
        </w:trPr>
        <w:tc>
          <w:tcPr>
            <w:tcW w:type="dxa" w:w="30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Verified commercial order</w:t>
            </w:r>
          </w:p>
        </w:tc>
        <w:tc>
          <w:tcPr>
            <w:tcW w:type="dxa" w:w="12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$187,500</w:t>
            </w:r>
          </w:p>
        </w:tc>
        <w:tc>
          <w:tcPr>
            <w:tcW w:type="dxa" w:w="12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$37,500</w:t>
            </w:r>
          </w:p>
        </w:tc>
        <w:tc>
          <w:tcPr>
            <w:tcW w:type="dxa" w:w="151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$150,000</w:t>
            </w:r>
          </w:p>
        </w:tc>
        <w:tc>
          <w:tcPr>
            <w:tcW w:type="dxa" w:w="324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90 days; 14% annual</w:t>
            </w:r>
          </w:p>
        </w:tc>
      </w:tr>
      <w:tr>
        <w:trPr>
          <w:cantSplit/>
        </w:trPr>
        <w:tc>
          <w:tcPr>
            <w:tcW w:type="dxa" w:w="30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Agricultural cold storage</w:t>
            </w:r>
          </w:p>
        </w:tc>
        <w:tc>
          <w:tcPr>
            <w:tcW w:type="dxa" w:w="12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$437,500</w:t>
            </w:r>
          </w:p>
        </w:tc>
        <w:tc>
          <w:tcPr>
            <w:tcW w:type="dxa" w:w="12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$87,500</w:t>
            </w:r>
          </w:p>
        </w:tc>
        <w:tc>
          <w:tcPr>
            <w:tcW w:type="dxa" w:w="151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$350,000</w:t>
            </w:r>
          </w:p>
        </w:tc>
        <w:tc>
          <w:tcPr>
            <w:tcW w:type="dxa" w:w="324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60 months; 12%</w:t>
            </w:r>
          </w:p>
        </w:tc>
      </w:tr>
      <w:tr>
        <w:trPr>
          <w:cantSplit/>
        </w:trPr>
        <w:tc>
          <w:tcPr>
            <w:tcW w:type="dxa" w:w="30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Small rental rehabilitation</w:t>
            </w:r>
          </w:p>
        </w:tc>
        <w:tc>
          <w:tcPr>
            <w:tcW w:type="dxa" w:w="12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$500,000</w:t>
            </w:r>
          </w:p>
        </w:tc>
        <w:tc>
          <w:tcPr>
            <w:tcW w:type="dxa" w:w="12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$100,000</w:t>
            </w:r>
          </w:p>
        </w:tc>
        <w:tc>
          <w:tcPr>
            <w:tcW w:type="dxa" w:w="151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$400,000</w:t>
            </w:r>
          </w:p>
        </w:tc>
        <w:tc>
          <w:tcPr>
            <w:tcW w:type="dxa" w:w="324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18 months; 13%</w:t>
            </w:r>
          </w:p>
        </w:tc>
      </w:tr>
    </w:tbl>
    <w:p/>
    <w:p>
      <w:pPr>
        <w:pStyle w:val="Heading2"/>
      </w:pPr>
      <w:r>
        <w:t>Pilot one contractor equipment fleet</w:t>
      </w:r>
    </w:p>
    <w:p>
      <w:r>
        <w:t>Use case: purchase a compact track loader, attachments and transport equipment for a contractor with recurring work. The $312,500 project budget comprises $295,000 of equipment and $17,500 of initial setup and contingency. Sponsor cash contributes $62,500. The sponsor separately pays a $5,000 origination fee, bringing its total opening cash requirement to $67,500.</w:t>
      </w:r>
    </w:p>
    <w:p>
      <w:r>
        <w:t>Illustrative monthly contracted fleet revenue is $18,500. Maintenance, insurance, transport and administration total $3,500, leaving $15,000 before debt service. A $250,000 loan amortized over 36 months at 12% requires approximately $8,304 monthly. Debt-service coverage is about 1.81 times. A 20% revenue reduction with unchanged operating costs leaves $11,300 and coverage of 1.36 times.</w:t>
      </w:r>
    </w:p>
    <w:p>
      <w:r>
        <w:t>Evidence package: itemized dealer quotes, serial numbers and valuation, three years of sponsor statements where available, verified work contracts, utilization records, maintenance responsibility, security documents, payment routing and an independent resale estimate. Residual asset sale proceeds are not required to pay the scheduled amortization.</w:t>
      </w:r>
    </w:p>
    <w:p>
      <w:pPr>
        <w:pStyle w:val="Heading2"/>
      </w:pPr>
      <w:r>
        <w:t>Pilot two purchase order finance</w:t>
      </w:r>
    </w:p>
    <w:p>
      <w:r>
        <w:t>A $187,500 supplier and delivery budget is funded with $150,000 of investor capital and $37,500 sponsor equity. Assume an independently confirmed $225,000 buyer order paid at day 90. Interest at 14% for 90 days on an actual/365 basis is about $5,178; a separate 2% origination fee is $3,000. Project margin after these finance costs is approximately $29,322 before sponsor overhead and taxes.</w:t>
      </w:r>
    </w:p>
    <w:p>
      <w:r>
        <w:t>A 30-day payment delay adds about $1,726 of interest if contractually payable, and delays investor repayment. Underwriters must test supplier execution and buyer collection; the quoted order amount alone does not establish collectible value.</w:t>
      </w:r>
    </w:p>
    <w:p>
      <w:pPr>
        <w:pStyle w:val="Heading1"/>
        <w:pageBreakBefore/>
      </w:pPr>
      <w:r>
        <w:t>6 Additional projects and market evidence</w:t>
      </w:r>
    </w:p>
    <w:p>
      <w:pPr>
        <w:pStyle w:val="Heading2"/>
      </w:pPr>
      <w:r>
        <w:t>Commercial solar example</w:t>
      </w:r>
    </w:p>
    <w:p>
      <w:r>
        <w:t>A $625,000 installation combines $125,000 sponsor equity and $500,000 project financing. At a proposed 10.5% rate over five years, monthly debt service is approximately $10,747. A 1.35 coverage threshold requires about $14,509 monthly net operating cash flow. A project unable to support that payment needs a longer tenor, lower cost, more equity or a different scope. Tax credits and grants are excluded until confirmed.</w:t>
      </w:r>
    </w:p>
    <w:p>
      <w:pPr>
        <w:pStyle w:val="Heading2"/>
      </w:pPr>
      <w:r>
        <w:t>Agricultural cold storage example</w:t>
      </w:r>
    </w:p>
    <w:p>
      <w:r>
        <w:t>A $437,500 project funds refrigeration equipment, fit-out and contingency. Sponsor cash is $87,500 and financing is $350,000. At 12% over five years, monthly debt service is approximately $7,786; the proposed coverage threshold requires about $10,511 monthly net operating cash flow. Obtain storage commitments, seasonal utilization forecasts, power costs, spoilage procedures and equipment maintenance pricing.</w:t>
      </w:r>
    </w:p>
    <w:p>
      <w:pPr>
        <w:pStyle w:val="Heading2"/>
      </w:pPr>
      <w:r>
        <w:t>Rental rehabilitation example</w:t>
      </w:r>
    </w:p>
    <w:p>
      <w:r>
        <w:t>A $500,000 acquisition and rehabilitation budget uses $100,000 sponsor equity and $400,000 financing. At 13% interest-only, monthly interest is about $4,333; the $400,000 principal is due at month 18. The sponsor pays the separate $8,000 origination fee. The board requires a supported sale or refinance path and a contingency for delays. This project type is deferred until the platform can monitor construction draws and exit milestones.</w:t>
      </w:r>
    </w:p>
    <w:p>
      <w:pPr>
        <w:pStyle w:val="Heading2"/>
      </w:pPr>
      <w:r>
        <w:t>Observed crowdfunding precedent</w:t>
      </w:r>
    </w:p>
    <w:p>
      <w:r>
        <w:t>Kiva’s public U.S. borrowing page offers community-funded business loans of $1,000 to $15,000 at 0% with no fees. Its page reviewed for this plan displayed examples involving expansion of a food business and a cleaning business purchasing supplies. These demonstrate the understandable, practical uses of crowdfunding; they are Kiva examples, not B1C customers or partnerships. B1C targets larger projects and an income-seeking investor proposition. [6]</w:t>
      </w:r>
    </w:p>
    <w:p>
      <w:pPr>
        <w:pStyle w:val="Heading2"/>
      </w:pPr>
      <w:r>
        <w:t>A measurable opening market</w:t>
      </w:r>
    </w:p>
    <w:p>
      <w:r>
        <w:t>Use a bottom-up acquisition plan instead of claiming an unsupported national market share. Year 1 requires 20 funded projects averaging $250,000; Year 2 requires 50 averaging $300,000; Year 3 requires 100 averaging $300,000. At a modeled 25% qualified-application-to-funding conversion, underwriting must process 80, 200 and 400 qualified applications respectively.</w:t>
      </w:r>
    </w:p>
    <w:p>
      <w:r>
        <w:t>The initial sourcing channels are equipment dealers, contractor networks, commercial suppliers and accountants. Each channel begins with specific sponsor introductions and verified project economics. Two or more successful repeat sponsors should precede expansion into a new sector. No exclusivity or referral partnership is assumed.</w:t>
      </w:r>
    </w:p>
    <w:p>
      <w:pPr>
        <w:pStyle w:val="Heading1"/>
        <w:pageBreakBefore/>
      </w:pPr>
      <w:r>
        <w:t>7 Financing comparisons and borrower value</w:t>
      </w:r>
    </w:p>
    <w:p>
      <w:r>
        <w:t>Published terms reviewed October 18 2026 provide reference points, not matched borrower offers. SBA figures below are maximum variable rate margins; American Express figures are total loan fees. B1C proposed annual interest rates are a third measure. Each requires a dated cash-flow calculation before a cost comparison. [4–6]</w:t>
      </w:r>
    </w:p>
    <w:tbl>
      <w:tblPr>
        <w:tblW w:type="auto" w:w="0"/>
        <w:jc w:val="center"/>
        <w:tblLayout w:type="fixed"/>
        <w:tblLook w:firstColumn="1" w:firstRow="1" w:lastColumn="0" w:lastRow="0" w:noHBand="0" w:noVBand="1" w:val="04A0"/>
      </w:tblPr>
      <w:tblGrid>
        <w:gridCol w:w="3408"/>
        <w:gridCol w:w="3408"/>
        <w:gridCol w:w="3408"/>
      </w:tblGrid>
      <w:tr>
        <w:trPr>
          <w:cantSplit/>
          <w:tblHeader/>
        </w:trPr>
        <w:tc>
          <w:tcPr>
            <w:tcW w:type="dxa" w:w="18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Alternative</w:t>
            </w:r>
          </w:p>
        </w:tc>
        <w:tc>
          <w:tcPr>
            <w:tcW w:type="dxa" w:w="446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Verified published pricing</w:t>
            </w:r>
          </w:p>
        </w:tc>
        <w:tc>
          <w:tcPr>
            <w:tcW w:type="dxa" w:w="388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Comparison with B1C</w:t>
            </w:r>
          </w:p>
        </w:tc>
      </w:tr>
      <w:tr>
        <w:trPr>
          <w:cantSplit/>
        </w:trPr>
        <w:tc>
          <w:tcPr>
            <w:tcW w:type="dxa" w:w="18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SBA 7a variable</w:t>
            </w:r>
          </w:p>
        </w:tc>
        <w:tc>
          <w:tcPr>
            <w:tcW w:type="dxa" w:w="446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$50k or less: base +6.5%; $50,001–250k: +6%; $250,001–350k: +4.5%; above $350k: +3%</w:t>
            </w:r>
          </w:p>
        </w:tc>
        <w:tc>
          <w:tcPr>
            <w:tcW w:type="dxa" w:w="388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Maximums, not quotes; base rate and other costs must be supplied</w:t>
            </w:r>
          </w:p>
        </w:tc>
      </w:tr>
      <w:tr>
        <w:trPr>
          <w:cantSplit/>
        </w:trPr>
        <w:tc>
          <w:tcPr>
            <w:tcW w:type="dxa" w:w="18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American Express single repayment</w:t>
            </w:r>
          </w:p>
        </w:tc>
        <w:tc>
          <w:tcPr>
            <w:tcW w:type="dxa" w:w="446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3-month total fee 2.85%–6.05% of amount borrowed</w:t>
            </w:r>
          </w:p>
        </w:tc>
        <w:tc>
          <w:tcPr>
            <w:tcW w:type="dxa" w:w="388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Short-term reference; fee is not annual APR</w:t>
            </w:r>
          </w:p>
        </w:tc>
      </w:tr>
      <w:tr>
        <w:trPr>
          <w:cantSplit/>
        </w:trPr>
        <w:tc>
          <w:tcPr>
            <w:tcW w:type="dxa" w:w="18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American Express installments</w:t>
            </w:r>
          </w:p>
        </w:tc>
        <w:tc>
          <w:tcPr>
            <w:tcW w:type="dxa" w:w="446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12-month total loan fee 6%–18%</w:t>
            </w:r>
          </w:p>
        </w:tc>
        <w:tc>
          <w:tcPr>
            <w:tcW w:type="dxa" w:w="388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Requires the full payment schedule for annualized comparison</w:t>
            </w:r>
          </w:p>
        </w:tc>
      </w:tr>
      <w:tr>
        <w:trPr>
          <w:cantSplit/>
        </w:trPr>
        <w:tc>
          <w:tcPr>
            <w:tcW w:type="dxa" w:w="18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Kiva US</w:t>
            </w:r>
          </w:p>
        </w:tc>
        <w:tc>
          <w:tcPr>
            <w:tcW w:type="dxa" w:w="446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$1k–$15k at 0% and no fees</w:t>
            </w:r>
          </w:p>
        </w:tc>
        <w:tc>
          <w:tcPr>
            <w:tcW w:type="dxa" w:w="388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Small community-finance reference; different investor economics</w:t>
            </w:r>
          </w:p>
        </w:tc>
      </w:tr>
      <w:tr>
        <w:trPr>
          <w:cantSplit/>
        </w:trPr>
        <w:tc>
          <w:tcPr>
            <w:tcW w:type="dxa" w:w="18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B1C proposed</w:t>
            </w:r>
          </w:p>
        </w:tc>
        <w:tc>
          <w:tcPr>
            <w:tcW w:type="dxa" w:w="446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10.5%–14% annual project interest plus 2% origination</w:t>
            </w:r>
          </w:p>
        </w:tc>
        <w:tc>
          <w:tcPr>
            <w:tcW w:type="dxa" w:w="388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Targets by asset and term; approval and servicing evidence needed</w:t>
            </w:r>
          </w:p>
        </w:tc>
      </w:tr>
    </w:tbl>
    <w:p/>
    <w:p>
      <w:pPr>
        <w:pStyle w:val="Heading2"/>
      </w:pPr>
      <w:r>
        <w:t>Comparable short term cost example</w:t>
      </w:r>
    </w:p>
    <w:p>
      <w:r>
        <w:t>On $150,000 for a standardized 90-day, single-repayment comparison, B1C at 14% annual interest plus a 2% upfront fee costs $8,178: $5,178 interest and $3,000 fee. If the fee is paid separately at closing, the borrower receives net economic proceeds of $147,000 and pays $155,178 at maturity. Annual effective financing cost is approximately 24.6% on those cash flows.</w:t>
      </w:r>
    </w:p>
    <w:p>
      <w:r>
        <w:t>American Express’s published 3-month fee range applied to $150,000 produces $4,275 to $9,075 in total fees. Assuming exactly 90 days and payment of principal and fee at maturity, annual effective cost is approximately 12.1% to 26.9%. This standardizes timing for illustration; actual calendar dates and approved terms control. B1C is competitive with part of the range, not uniformly cheaper. [5]</w:t>
      </w:r>
    </w:p>
    <w:p>
      <w:pPr>
        <w:pStyle w:val="Heading2"/>
      </w:pPr>
      <w:r>
        <w:t>How to win a borrower</w:t>
      </w:r>
    </w:p>
    <w:p>
      <w:r>
        <w:t>Present actual net proceeds, scheduled payments, total dollars repaid, annualized cash-flow cost, security requirements, execution conditions and prepayment economics. B1C can compete on a clear project assessment, milestone funding and a predictable decision process. It should not promise lower pricing than an available subsidized or prime commercial loan.</w:t>
      </w:r>
    </w:p>
    <w:p>
      <w:r>
        <w:t>The proposed B1C internal base funding target begins at 8.5% expected net investor income. Servicing of 2% and expected losses of 1.5% imply a 12% reference asset yield. Sector premiums, actual funding demand and updated loss evidence adjust new offers. Existing fixed-rate commitments retain their agreed terms.</w:t>
      </w:r>
    </w:p>
    <w:p>
      <w:pPr>
        <w:pStyle w:val="Heading1"/>
        <w:pageBreakBefore/>
      </w:pPr>
      <w:r>
        <w:t>8 Distribution and operating plan</w:t>
      </w:r>
    </w:p>
    <w:p>
      <w:pPr>
        <w:pStyle w:val="Heading2"/>
      </w:pPr>
      <w:r>
        <w:t>Investor acquisition and retention</w:t>
      </w:r>
    </w:p>
    <w:p>
      <w:r>
        <w:t>The base case requires $4 million, $12 million and $24 million of year-end outstanding project principal. Assuming a $10,000 average outstanding commitment per active investor, B1C needs approximately 400, 1,200 and 2,400 active funded investors at each year-end. These are acquisition targets, not a verified audience.</w:t>
      </w:r>
    </w:p>
    <w:p>
      <w:r>
        <w:t>Modeled new funded investors are 400, 800 and 1,200, with no net attrition assumed. Marketing budgets of $60,000, $90,000 and $120,000 imply acquisition spending of $150, $112.50 and $100 per new funded investor. Those targets require productive referrals and reinvestment; paid advertising alone is not assumed to deliver them. A $10,000 average balance produces $200 gross annual servicing revenue before variable costs.</w:t>
      </w:r>
    </w:p>
    <w:p>
      <w:r>
        <w:t>Customer acquisition focuses on plain-language project research, sponsor demonstrations, educational sessions and referrals. Investor communications explain dollar settlement separately from the financed asset. Retention depends on accurate statements, responsive service and payment performance. No outreach or public campaign is authorized by this plan.</w:t>
      </w:r>
    </w:p>
    <w:p>
      <w:pPr>
        <w:pStyle w:val="Heading2"/>
      </w:pPr>
      <w:r>
        <w:t>Staffing and workflow</w:t>
      </w:r>
    </w:p>
    <w:p>
      <w:r>
        <w:t>Year 1 uses a lean team of roughly three full-time-equivalent roles covering leadership and originations, credit and servicing, and product and operations, supplemented by outsourced specialists. Year 2 adds servicing capacity; Year 3 targets roughly five full-time-equivalent roles. Payroll budgets include compensation and employer costs. Independent directors and specialist work fit within the professional-services budget.</w:t>
      </w:r>
    </w:p>
    <w:tbl>
      <w:tblPr>
        <w:tblW w:type="auto" w:w="0"/>
        <w:jc w:val="center"/>
        <w:tblLayout w:type="fixed"/>
        <w:tblLook w:firstColumn="1" w:firstRow="1" w:lastColumn="0" w:lastRow="0" w:noHBand="0" w:noVBand="1" w:val="04A0"/>
      </w:tblPr>
      <w:tblGrid>
        <w:gridCol w:w="2556"/>
        <w:gridCol w:w="2556"/>
        <w:gridCol w:w="2556"/>
        <w:gridCol w:w="2556"/>
      </w:tblGrid>
      <w:tr>
        <w:trPr>
          <w:cantSplit/>
          <w:tblHeader/>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Annual fixed cash expense in thousands</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2027</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2028</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2029</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Payroll and benefits</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240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300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380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Technology and security</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60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75</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90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Customer acquisition</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60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90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120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Professional services and governance</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45</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40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40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Administration and insurance</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15</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15</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20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Total</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420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520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650</w:t>
            </w:r>
          </w:p>
        </w:tc>
      </w:tr>
    </w:tbl>
    <w:p/>
    <w:p>
      <w:r>
        <w:t>Variable origination delivery cost is 0.40% of financed volume; variable servicing and settlement cost is 0.35% of average outstanding principal. These costs include third-party verification, payment processing and contracted servicing work. Actual provider quotes must validate both budgets before launch.</w:t>
      </w:r>
    </w:p>
    <w:p>
      <w:pPr>
        <w:pStyle w:val="Heading2"/>
      </w:pPr>
      <w:r>
        <w:t>Service standards</w:t>
      </w:r>
    </w:p>
    <w:p>
      <w:r>
        <w:t>Daily reconciliation; monthly investor statements within ten business days; quarterly project operating updates; annual independent financial review; and documented escalation for late payments. Track application conversion, funding time, repeat sponsors, investor retention, net losses, support resolution and contribution per project.</w:t>
      </w:r>
    </w:p>
    <w:p>
      <w:pPr>
        <w:pStyle w:val="Heading1"/>
        <w:pageBreakBefore/>
      </w:pPr>
      <w:r>
        <w:t>9 Three year profitability forecast</w:t>
      </w:r>
    </w:p>
    <w:p>
      <w:r>
        <w:t>Base case in US dollars, shown in thousands except project counts and rates. Year 1 is the first full operating year, assumed to be 2027. A 2027 start requires the launch milestones to be completed in time. This is a fee-based platform management forecast, not a consolidated project-fund statement.</w:t>
      </w:r>
    </w:p>
    <w:tbl>
      <w:tblPr>
        <w:tblW w:type="auto" w:w="0"/>
        <w:jc w:val="center"/>
        <w:tblLayout w:type="fixed"/>
        <w:tblLook w:firstColumn="1" w:firstRow="1" w:lastColumn="0" w:lastRow="0" w:noHBand="0" w:noVBand="1" w:val="04A0"/>
      </w:tblPr>
      <w:tblGrid>
        <w:gridCol w:w="2556"/>
        <w:gridCol w:w="2556"/>
        <w:gridCol w:w="2556"/>
        <w:gridCol w:w="2556"/>
      </w:tblGrid>
      <w:tr>
        <w:trPr>
          <w:cantSplit/>
          <w:tblHeader/>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Volume and revenue drivers</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2027</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2028</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2029</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Projects funded</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20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50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100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New financing</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5,000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15,000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30,000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Opening outstanding principal</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4,000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12,000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Principal runoff including losses</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1,000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7,000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18,000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Ending outstanding principal</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4,000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12,000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24,000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Average outstanding principal</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2,000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8,000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18,000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Origination fee at 2%</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100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300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600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Servicing revenue at 2%</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40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160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360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Sponsor subscriptions</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25</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60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120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Total revenue</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165</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520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1,080</w:t>
            </w:r>
          </w:p>
        </w:tc>
      </w:tr>
    </w:tbl>
    <w:p/>
    <w:tbl>
      <w:tblPr>
        <w:tblW w:type="auto" w:w="0"/>
        <w:jc w:val="center"/>
        <w:tblLayout w:type="fixed"/>
        <w:tblLook w:firstColumn="1" w:firstRow="1" w:lastColumn="0" w:lastRow="0" w:noHBand="0" w:noVBand="1" w:val="04A0"/>
      </w:tblPr>
      <w:tblGrid>
        <w:gridCol w:w="2556"/>
        <w:gridCol w:w="2556"/>
        <w:gridCol w:w="2556"/>
        <w:gridCol w:w="2556"/>
      </w:tblGrid>
      <w:tr>
        <w:trPr>
          <w:cantSplit/>
          <w:tblHeader/>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Company profit and loss</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2027</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2028</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2029</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Revenue</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165</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520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1,080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Variable delivery costs</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(27)</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(88)</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(183)</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Contribution</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138</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432</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897</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Fixed cash operating expenses</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(420)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(520)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(650)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EBITDA</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(282)</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(88)</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247</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Depreciation and amortization</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(15)</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(20)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(25)</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Operating and pretax income</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(297)</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(108)</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222</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Illustrative cash and book taxes</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(55.5)</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Net income</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(297)</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(108)</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166.5</w:t>
            </w:r>
          </w:p>
        </w:tc>
      </w:tr>
    </w:tbl>
    <w:p/>
    <w:p>
      <w:r>
        <w:t>Average principal is the midpoint of opening and closing balances, assuming approximately even net deployment. Runoff includes scheduled amortization, early repayments and modeled net charge-offs; expected losses at 1.5% of average principal are $30k, $120k and $270k. Cash principal repayments are therefore $970k, $6.88m and $17.73m. A monthly cohort model must replace midpoint assumptions before commitments are made.</w:t>
      </w:r>
    </w:p>
    <w:p>
      <w:r>
        <w:t>Origination fees are modeled as earned at completion; servicing accrues on outstanding principal. Project interest and investor principal are excluded from company revenue. Taxes use a simplified 25% rate on positive pretax income, ignoring prior loss offsets. No interest expense, debt financing, shareholder dividends or performance fees are assumed.</w:t>
      </w:r>
    </w:p>
    <w:p>
      <w:pPr>
        <w:pStyle w:val="Heading1"/>
        <w:pageBreakBefore/>
      </w:pPr>
      <w:r>
        <w:t>10 Capital raise and cash forecast</w:t>
      </w:r>
    </w:p>
    <w:p>
      <w:pPr>
        <w:pStyle w:val="Heading2"/>
      </w:pPr>
      <w:r>
        <w:t>Proposed operating company investment</w:t>
      </w:r>
    </w:p>
    <w:p>
      <w:r>
        <w:t>Seek $1.25 million of operating-company equity. Valuation, ownership, preferences and founder vesting remain to be negotiated. Proposed investor rights include financial reporting, one board seat and consent over major financing and related-party transactions.</w:t>
      </w:r>
    </w:p>
    <w:tbl>
      <w:tblPr>
        <w:tblW w:type="auto" w:w="0"/>
        <w:jc w:val="center"/>
        <w:tblLayout w:type="fixed"/>
        <w:tblLook w:firstColumn="1" w:firstRow="1" w:lastColumn="0" w:lastRow="0" w:noHBand="0" w:noVBand="1" w:val="04A0"/>
      </w:tblPr>
      <w:tblGrid>
        <w:gridCol w:w="5112"/>
        <w:gridCol w:w="5112"/>
      </w:tblGrid>
      <w:tr>
        <w:trPr>
          <w:cantSplit/>
          <w:tblHeader/>
        </w:trPr>
        <w:tc>
          <w:tcPr>
            <w:tcW w:type="dxa" w:w="73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Proposed allocation</w:t>
            </w:r>
          </w:p>
        </w:tc>
        <w:tc>
          <w:tcPr>
            <w:tcW w:type="dxa" w:w="288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Amount</w:t>
            </w:r>
          </w:p>
        </w:tc>
      </w:tr>
      <w:tr>
        <w:trPr>
          <w:cantSplit/>
        </w:trPr>
        <w:tc>
          <w:tcPr>
            <w:tcW w:type="dxa" w:w="73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First-year net operating cash burn</w:t>
            </w:r>
          </w:p>
        </w:tc>
        <w:tc>
          <w:tcPr>
            <w:tcW w:type="dxa" w:w="288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$282,000</w:t>
            </w:r>
          </w:p>
        </w:tc>
      </w:tr>
      <w:tr>
        <w:trPr>
          <w:cantSplit/>
        </w:trPr>
        <w:tc>
          <w:tcPr>
            <w:tcW w:type="dxa" w:w="73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First-year technology and equipment investment</w:t>
            </w:r>
          </w:p>
        </w:tc>
        <w:tc>
          <w:tcPr>
            <w:tcW w:type="dxa" w:w="288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$90,000</w:t>
            </w:r>
          </w:p>
        </w:tc>
      </w:tr>
      <w:tr>
        <w:trPr>
          <w:cantSplit/>
        </w:trPr>
        <w:tc>
          <w:tcPr>
            <w:tcW w:type="dxa" w:w="73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Second-year net operating cash burn</w:t>
            </w:r>
          </w:p>
        </w:tc>
        <w:tc>
          <w:tcPr>
            <w:tcW w:type="dxa" w:w="288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$88,000</w:t>
            </w:r>
          </w:p>
        </w:tc>
      </w:tr>
      <w:tr>
        <w:trPr>
          <w:cantSplit/>
        </w:trPr>
        <w:tc>
          <w:tcPr>
            <w:tcW w:type="dxa" w:w="73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Second-year capital investment</w:t>
            </w:r>
          </w:p>
        </w:tc>
        <w:tc>
          <w:tcPr>
            <w:tcW w:type="dxa" w:w="288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$40,000</w:t>
            </w:r>
          </w:p>
        </w:tc>
      </w:tr>
      <w:tr>
        <w:trPr>
          <w:cantSplit/>
        </w:trPr>
        <w:tc>
          <w:tcPr>
            <w:tcW w:type="dxa" w:w="73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Available contingency and growth liquidity</w:t>
            </w:r>
          </w:p>
        </w:tc>
        <w:tc>
          <w:tcPr>
            <w:tcW w:type="dxa" w:w="288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$750,000</w:t>
            </w:r>
          </w:p>
        </w:tc>
      </w:tr>
      <w:tr>
        <w:trPr>
          <w:cantSplit/>
        </w:trPr>
        <w:tc>
          <w:tcPr>
            <w:tcW w:type="dxa" w:w="73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Total equity sought</w:t>
            </w:r>
          </w:p>
        </w:tc>
        <w:tc>
          <w:tcPr>
            <w:tcW w:type="dxa" w:w="288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$1,250,000</w:t>
            </w:r>
          </w:p>
        </w:tc>
      </w:tr>
    </w:tbl>
    <w:p/>
    <w:p>
      <w:r>
        <w:t>The $750,000 is available cash at Year 2 end, not an additional expense. Year 1 capital investment covers capitalizable development, equipment and launch configuration; recurring technology expense is separate.</w:t>
      </w:r>
    </w:p>
    <w:tbl>
      <w:tblPr>
        <w:tblW w:type="auto" w:w="0"/>
        <w:jc w:val="center"/>
        <w:tblLayout w:type="fixed"/>
        <w:tblLook w:firstColumn="1" w:firstRow="1" w:lastColumn="0" w:lastRow="0" w:noHBand="0" w:noVBand="1" w:val="04A0"/>
      </w:tblPr>
      <w:tblGrid>
        <w:gridCol w:w="2556"/>
        <w:gridCol w:w="2556"/>
        <w:gridCol w:w="2556"/>
        <w:gridCol w:w="2556"/>
      </w:tblGrid>
      <w:tr>
        <w:trPr>
          <w:cantSplit/>
          <w:tblHeader/>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Company cash and balance sheet in thousands</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2027</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2028</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2029</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Opening cash before equity</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878</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750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New company equity</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1,250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EBITDA cash proxy</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(282)</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(88)</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247</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Cash taxes</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(55.5)</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Capital investment</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(90)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(40)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(50)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Ending company cash</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878</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750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891.5</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Net capitalized assets</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75</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95</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120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Total company assets</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953</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845</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1,011.5</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Company debt and other net liabilities</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0</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Paid-in equity plus retained earnings</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953</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845</w:t>
            </w:r>
          </w:p>
        </w:tc>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1,011.5</w:t>
            </w:r>
          </w:p>
        </w:tc>
      </w:tr>
    </w:tbl>
    <w:p/>
    <w:p>
      <w:r>
        <w:t>Fees are collected as earned; subscriptions are earned ratably within each year. No material year-end working capital is assumed. Actual collection timing can change liquidity.</w:t>
      </w:r>
    </w:p>
    <w:p>
      <w:pPr>
        <w:pStyle w:val="Heading2"/>
      </w:pPr>
      <w:r>
        <w:t>Separate project capital plan</w:t>
      </w:r>
    </w:p>
    <w:p>
      <w:r>
        <w:t>Gross subscriptions fund $5m, $15m and $30m of annual project originations. If all collected principal is reinvested, minimum fresh investor principal is $4.03m, $8.12m and $12.27m, respectively, using the modeled repayments. Cumulative fresh principal is $24.42m; less $420,000 cumulative principal losses leaves $24m outstanding at Year 3 end. Investor income is distributed, not reinvested. These annual net amounts assume timely reinvestment; funding commitments must also cover timing gaps.</w:t>
      </w:r>
    </w:p>
    <w:p>
      <w:pPr>
        <w:pStyle w:val="Heading1"/>
        <w:pageBreakBefore/>
      </w:pPr>
      <w:r>
        <w:t>11 Sensitivities and profitability conditions</w:t>
      </w:r>
    </w:p>
    <w:p>
      <w:pPr>
        <w:pStyle w:val="Heading2"/>
      </w:pPr>
      <w:r>
        <w:t>What produces break even</w:t>
      </w:r>
    </w:p>
    <w:p>
      <w:r>
        <w:t>Company EBITDA equals 1.60% of new originations plus 1.65% of average outstanding principal plus sponsor subscriptions, less fixed operating costs. These net fee margins deduct variable delivery expenses. At Year 3 assumptions, break-even new originations are about $14.56m if average principal remains $18m and subscriptions remain $120k. If both originations and average principal fall proportionally, break-even is approximately 68.2% of base volume: $20.47m and $12.28m respectively.</w:t>
      </w:r>
    </w:p>
    <w:tbl>
      <w:tblPr>
        <w:tblW w:type="auto" w:w="0"/>
        <w:jc w:val="center"/>
        <w:tblLayout w:type="fixed"/>
        <w:tblLook w:firstColumn="1" w:firstRow="1" w:lastColumn="0" w:lastRow="0" w:noHBand="0" w:noVBand="1" w:val="04A0"/>
      </w:tblPr>
      <w:tblGrid>
        <w:gridCol w:w="2045"/>
        <w:gridCol w:w="2045"/>
        <w:gridCol w:w="2045"/>
        <w:gridCol w:w="2045"/>
        <w:gridCol w:w="2045"/>
      </w:tblGrid>
      <w:tr>
        <w:trPr>
          <w:cantSplit/>
          <w:tblHeader/>
        </w:trPr>
        <w:tc>
          <w:tcPr>
            <w:tcW w:type="dxa" w:w="360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Scenario in thousands</w:t>
            </w:r>
          </w:p>
        </w:tc>
        <w:tc>
          <w:tcPr>
            <w:tcW w:type="dxa" w:w="151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2027 EBITDA</w:t>
            </w:r>
          </w:p>
        </w:tc>
        <w:tc>
          <w:tcPr>
            <w:tcW w:type="dxa" w:w="151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2028 EBITDA</w:t>
            </w:r>
          </w:p>
        </w:tc>
        <w:tc>
          <w:tcPr>
            <w:tcW w:type="dxa" w:w="151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2029 EBITDA</w:t>
            </w:r>
          </w:p>
        </w:tc>
        <w:tc>
          <w:tcPr>
            <w:tcW w:type="dxa" w:w="208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Year 3 ending cash</w:t>
            </w:r>
          </w:p>
        </w:tc>
      </w:tr>
      <w:tr>
        <w:trPr>
          <w:cantSplit/>
        </w:trPr>
        <w:tc>
          <w:tcPr>
            <w:tcW w:type="dxa" w:w="360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Base case</w:t>
            </w:r>
          </w:p>
        </w:tc>
        <w:tc>
          <w:tcPr>
            <w:tcW w:type="dxa" w:w="151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(282)</w:t>
            </w:r>
          </w:p>
        </w:tc>
        <w:tc>
          <w:tcPr>
            <w:tcW w:type="dxa" w:w="151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(88)</w:t>
            </w:r>
          </w:p>
        </w:tc>
        <w:tc>
          <w:tcPr>
            <w:tcW w:type="dxa" w:w="151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247</w:t>
            </w:r>
          </w:p>
        </w:tc>
        <w:tc>
          <w:tcPr>
            <w:tcW w:type="dxa" w:w="208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891.5</w:t>
            </w:r>
          </w:p>
        </w:tc>
      </w:tr>
      <w:tr>
        <w:trPr>
          <w:cantSplit/>
        </w:trPr>
        <w:tc>
          <w:tcPr>
            <w:tcW w:type="dxa" w:w="360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Slower adoption at 60% of base volumes</w:t>
            </w:r>
          </w:p>
        </w:tc>
        <w:tc>
          <w:tcPr>
            <w:tcW w:type="dxa" w:w="151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(337.2)</w:t>
            </w:r>
          </w:p>
        </w:tc>
        <w:tc>
          <w:tcPr>
            <w:tcW w:type="dxa" w:w="151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(260.8)</w:t>
            </w:r>
          </w:p>
        </w:tc>
        <w:tc>
          <w:tcPr>
            <w:tcW w:type="dxa" w:w="151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(111.8)</w:t>
            </w:r>
          </w:p>
        </w:tc>
        <w:tc>
          <w:tcPr>
            <w:tcW w:type="dxa" w:w="208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360.2</w:t>
            </w:r>
          </w:p>
        </w:tc>
      </w:tr>
      <w:tr>
        <w:trPr>
          <w:cantSplit/>
        </w:trPr>
        <w:tc>
          <w:tcPr>
            <w:tcW w:type="dxa" w:w="360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30% higher fixed operating costs</w:t>
            </w:r>
          </w:p>
        </w:tc>
        <w:tc>
          <w:tcPr>
            <w:tcW w:type="dxa" w:w="151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(408)</w:t>
            </w:r>
          </w:p>
        </w:tc>
        <w:tc>
          <w:tcPr>
            <w:tcW w:type="dxa" w:w="151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(244)</w:t>
            </w:r>
          </w:p>
        </w:tc>
        <w:tc>
          <w:tcPr>
            <w:tcW w:type="dxa" w:w="151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52</w:t>
            </w:r>
          </w:p>
        </w:tc>
        <w:tc>
          <w:tcPr>
            <w:tcW w:type="dxa" w:w="208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463.25</w:t>
            </w:r>
          </w:p>
        </w:tc>
      </w:tr>
      <w:tr>
        <w:trPr>
          <w:cantSplit/>
        </w:trPr>
        <w:tc>
          <w:tcPr>
            <w:tcW w:type="dxa" w:w="360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0.5 point lower origination and servicing fees</w:t>
            </w:r>
          </w:p>
        </w:tc>
        <w:tc>
          <w:tcPr>
            <w:tcW w:type="dxa" w:w="151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(317)</w:t>
            </w:r>
          </w:p>
        </w:tc>
        <w:tc>
          <w:tcPr>
            <w:tcW w:type="dxa" w:w="151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(203)</w:t>
            </w:r>
          </w:p>
        </w:tc>
        <w:tc>
          <w:tcPr>
            <w:tcW w:type="dxa" w:w="151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7</w:t>
            </w:r>
          </w:p>
        </w:tc>
        <w:tc>
          <w:tcPr>
            <w:tcW w:type="dxa" w:w="208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557</w:t>
            </w:r>
          </w:p>
        </w:tc>
      </w:tr>
    </w:tbl>
    <w:p/>
    <w:p>
      <w:r>
        <w:t>Slower adoption scales originations, outstanding principal, variable costs and subscriptions to 60% of base; fixed costs and capital investment remain unchanged. Higher costs increase fixed spending only. Fee compression reduces both fee rates from 2% to 1.5% with base volumes and costs. Each case uses the same depreciation, simplified tax policy and opening equity as the base model. No scenario assumes an automatic additional raise.</w:t>
      </w:r>
    </w:p>
    <w:p>
      <w:pPr>
        <w:pStyle w:val="Heading2"/>
      </w:pPr>
      <w:r>
        <w:t>Project investor sensitivity</w:t>
      </w:r>
    </w:p>
    <w:p>
      <w:r>
        <w:t>At 12% collected gross yield and a 2% servicing fee, net investor income before personal taxes is approximately 9.5% with 0.5% net principal losses, 8.5% with 1.5% losses, and 6% with 4% losses. At 8% losses it is 2%. This simplified annual balance-based view excludes timing effects; defaults can also delay or reduce principal repayment.</w:t>
      </w:r>
    </w:p>
    <w:p>
      <w:r>
        <w:t>Credit losses belong in project performance, not as an unexplained company expense under this agency model. They nevertheless affect company growth, collectible servicing fees and investor retention. A combined stress of 60% volume and losses above plan could reduce revenue further than the slower-adoption row shows.</w:t>
      </w:r>
    </w:p>
    <w:p>
      <w:pPr>
        <w:pStyle w:val="Heading2"/>
      </w:pPr>
      <w:r>
        <w:t>Capital and operating triggers</w:t>
      </w:r>
    </w:p>
    <w:p>
      <w:r>
        <w:t>At under 70% of the funded-volume target for two quarters, defer new sectors, freeze nonessential hiring and review acquisition spending. Maintain a board cash floor equal to six months of forward fixed operating costs plus committed capital spending. The slow-adoption case approaches that floor by Year 3 and requires cost action or a new financing decision before expansion.</w:t>
      </w:r>
    </w:p>
    <w:p>
      <w:r>
        <w:t>Annual profitability arrives in Year 3 in the base case. Cumulative company net income remains negative $238,500 through Year 3; the initial investment has not been earned back. No exit valuation, dividend schedule or guaranteed return is included.</w:t>
      </w:r>
    </w:p>
    <w:p>
      <w:pPr>
        <w:pStyle w:val="Heading1"/>
        <w:pageBreakBefore/>
      </w:pPr>
      <w:r>
        <w:t>12 Execution milestones and investment decision</w:t>
      </w:r>
    </w:p>
    <w:tbl>
      <w:tblPr>
        <w:tblW w:type="auto" w:w="0"/>
        <w:jc w:val="center"/>
        <w:tblLayout w:type="fixed"/>
        <w:tblLook w:firstColumn="1" w:firstRow="1" w:lastColumn="0" w:lastRow="0" w:noHBand="0" w:noVBand="1" w:val="04A0"/>
      </w:tblPr>
      <w:tblGrid>
        <w:gridCol w:w="3408"/>
        <w:gridCol w:w="3408"/>
        <w:gridCol w:w="3408"/>
      </w:tblGrid>
      <w:tr>
        <w:trPr>
          <w:cantSplit/>
          <w:tblHeader/>
        </w:trPr>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Timing</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Deliverable</w:t>
            </w:r>
          </w:p>
        </w:tc>
        <w:tc>
          <w:tcPr>
            <w:tcW w:type="dxa" w:w="48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19384D"/>
          </w:tcPr>
          <w:p>
            <w:pPr>
              <w:spacing w:after="60" w:line="240" w:lineRule="auto"/>
            </w:pPr>
            <w:r>
              <w:rPr>
                <w:b/>
                <w:color w:val="FFFFFF"/>
                <w:sz w:val="17"/>
              </w:rPr>
              <w:t>Evidence required to proceed</w:t>
            </w:r>
          </w:p>
        </w:tc>
      </w:tr>
      <w:tr>
        <w:trPr>
          <w:cantSplit/>
        </w:trPr>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First 30 days</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Appoint board and establish project criteria</w:t>
            </w:r>
          </w:p>
        </w:tc>
        <w:tc>
          <w:tcPr>
            <w:tcW w:type="dxa" w:w="48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Signed charters, budgets, decision rules and accountable owners</w:t>
            </w:r>
          </w:p>
        </w:tc>
      </w:tr>
      <w:tr>
        <w:trPr>
          <w:cantSplit/>
        </w:trPr>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Days 31 to 60</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Select custody, payment and BCH stack</w:t>
            </w:r>
          </w:p>
        </w:tc>
        <w:tc>
          <w:tcPr>
            <w:tcW w:type="dxa" w:w="48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Provider terms, wallet tests, reconciliation and recovery results</w:t>
            </w:r>
          </w:p>
        </w:tc>
      </w:tr>
      <w:tr>
        <w:trPr>
          <w:cantSplit/>
        </w:trPr>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Days 61 to 90</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Underwrite two pilot projects</w:t>
            </w:r>
          </w:p>
        </w:tc>
        <w:tc>
          <w:tcPr>
            <w:tcW w:type="dxa" w:w="48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Verified contracts, quotes, cash flows and board approvals</w:t>
            </w:r>
          </w:p>
        </w:tc>
      </w:tr>
      <w:tr>
        <w:trPr>
          <w:cantSplit/>
        </w:trPr>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Months 4 to 6</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Close and service first projects</w:t>
            </w:r>
          </w:p>
        </w:tc>
        <w:tc>
          <w:tcPr>
            <w:tcW w:type="dxa" w:w="48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Confirmed funding, supplier releases and first collections</w:t>
            </w:r>
          </w:p>
        </w:tc>
      </w:tr>
      <w:tr>
        <w:trPr>
          <w:cantSplit/>
        </w:trPr>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Months 7 to 12</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Reach 20 financed projects and $5m originations</w:t>
            </w:r>
          </w:p>
        </w:tc>
        <w:tc>
          <w:tcPr>
            <w:tcW w:type="dxa" w:w="48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Monthly performance, servicing capacity and investor retention</w:t>
            </w:r>
          </w:p>
        </w:tc>
      </w:tr>
      <w:tr>
        <w:trPr>
          <w:cantSplit/>
        </w:trPr>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Year 2</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Scale repeat sponsors and diversification</w:t>
            </w:r>
          </w:p>
        </w:tc>
        <w:tc>
          <w:tcPr>
            <w:tcW w:type="dxa" w:w="48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0F4F6"/>
          </w:tcPr>
          <w:p>
            <w:pPr>
              <w:spacing w:after="60" w:line="240" w:lineRule="auto"/>
            </w:pPr>
            <w:r>
              <w:rPr>
                <w:sz w:val="17"/>
              </w:rPr>
              <w:t>50 projects; $15m originations; $12m ending principal</w:t>
            </w:r>
          </w:p>
        </w:tc>
      </w:tr>
      <w:tr>
        <w:trPr>
          <w:cantSplit/>
        </w:trPr>
        <w:tc>
          <w:tcPr>
            <w:tcW w:type="dxa" w:w="15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Year 3</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Reach sustainable annual operating profit</w:t>
            </w:r>
          </w:p>
        </w:tc>
        <w:tc>
          <w:tcPr>
            <w:tcW w:type="dxa" w:w="48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60" w:line="240" w:lineRule="auto"/>
            </w:pPr>
            <w:r>
              <w:rPr>
                <w:sz w:val="17"/>
              </w:rPr>
              <w:t>100 projects; $30m originations; $247k modeled EBITDA</w:t>
            </w:r>
          </w:p>
        </w:tc>
      </w:tr>
    </w:tbl>
    <w:p/>
    <w:p>
      <w:pPr>
        <w:pStyle w:val="Heading2"/>
      </w:pPr>
      <w:r>
        <w:t>Launch completion requirements</w:t>
      </w:r>
    </w:p>
    <w:p>
      <w:r>
        <w:t>Before public subscriptions open, complete entity formation and ownership records, the offering and investor eligibility process, customer identity checks, project agreements, custody and payment contracts, and the applicable operating permissions for the chosen launch market. Assign one accountable executive to each item. These are execution workstreams; no completion is presumed.</w:t>
      </w:r>
    </w:p>
    <w:p>
      <w:pPr>
        <w:pStyle w:val="Heading2"/>
      </w:pPr>
      <w:r>
        <w:t>Evidence investors should receive</w:t>
      </w:r>
    </w:p>
    <w:p>
      <w:r>
        <w:t>The investment data room should contain the cap table, three-year budget, board charters, biographies and references for appointed executives, signed provider agreements, BCH technical review, settlement test results, project underwriting files, actual comparable lender proposals, acquisition funnel results and monthly financial reporting. The operating equity investment and each project investment require separate terms.</w:t>
      </w:r>
    </w:p>
    <w:p>
      <w:pPr>
        <w:pStyle w:val="Heading2"/>
      </w:pPr>
      <w:r>
        <w:t>Why this project can earn investor interest</w:t>
      </w:r>
    </w:p>
    <w:p>
      <w:r>
        <w:t>B1C offers a coherent way to combine familiar project finance with digital settlement and transparent records. The proposed model has measurable revenue drivers, a limited initial product scope, explicit board accountability and a path to operating profitability that does not depend on token price increases. The central investment question is whether management can source quality projects and attract repeat funding at the modeled costs.</w:t>
      </w:r>
    </w:p>
    <w:p>
      <w:r>
        <w:t>The recommended decision is to fund a staged operating launch with a $1.25m company capital budget, begin with equipment and verified orders, and release growth spending against completed pilots and collection performance. Actual lender quotes, provider pricing, project contracts and investor conversion results should replace assumptions as evidence accumulates.</w:t>
      </w:r>
    </w:p>
    <w:p>
      <w:pPr>
        <w:pStyle w:val="Heading2"/>
      </w:pPr>
      <w:r>
        <w:t>Forecast boundaries</w:t>
      </w:r>
    </w:p>
    <w:p>
      <w:r>
        <w:t>The financial plan is a management planning case, not historical results or an audited forecast. Market comparables are published reference terms rather than borrower-specific offers. Project examples are illustrative and no affiliation with named third parties is implied. The plan supports diligence and negotiation; its proposed economics remain subject to actual execution.</w:t>
      </w:r>
    </w:p>
    <w:p>
      <w:pPr>
        <w:pStyle w:val="Heading1"/>
        <w:pageBreakBefore/>
      </w:pPr>
      <w:r>
        <w:t>13 Research sources and model definitions</w:t>
      </w:r>
    </w:p>
    <w:p>
      <w:r>
        <w:t>Primary sources reviewed October 18 2026. Published pages may change. Each citation supports the described external fact; B1C product rates, governance rules, project budgets and financial targets are management proposals.</w:t>
      </w:r>
    </w:p>
    <w:p>
      <w:pPr>
        <w:pStyle w:val="Heading2"/>
      </w:pPr>
      <w:r>
        <w:t>1 Federal Reserve structure</w:t>
      </w:r>
    </w:p>
    <w:p>
      <w:r>
        <w:t>Board, FOMC and Reserve Bank responsibilities; basis for the organizational comparison.</w:t>
      </w:r>
    </w:p>
    <w:p>
      <w:r>
        <w:t>https://www.federalreserve.gov/faqs/about_12593.htm</w:t>
      </w:r>
    </w:p>
    <w:p>
      <w:pPr>
        <w:pStyle w:val="Heading2"/>
      </w:pPr>
      <w:r>
        <w:t>2 CashTokens introduction</w:t>
      </w:r>
    </w:p>
    <w:p>
      <w:r>
        <w:t>Native token capabilities on Bitcoin Cash; not evidence of a deployed B1C contract.</w:t>
      </w:r>
    </w:p>
    <w:p>
      <w:r>
        <w:t>https://cashtokens.org/docs/intro/</w:t>
      </w:r>
    </w:p>
    <w:p>
      <w:pPr>
        <w:pStyle w:val="Heading2"/>
      </w:pPr>
      <w:r>
        <w:t>3 Circle USDC</w:t>
      </w:r>
    </w:p>
    <w:p>
      <w:r>
        <w:t>Published native network list; Bitcoin Cash absent from reviewed list.</w:t>
      </w:r>
    </w:p>
    <w:p>
      <w:r>
        <w:t>https://www.circle.com/usdc</w:t>
      </w:r>
    </w:p>
    <w:p>
      <w:pPr>
        <w:pStyle w:val="Heading2"/>
      </w:pPr>
      <w:r>
        <w:t>4 SBA lender resources</w:t>
      </w:r>
    </w:p>
    <w:p>
      <w:r>
        <w:t>Published maximum variable 7(a) interest-rate margins; not a borrower quote.</w:t>
      </w:r>
    </w:p>
    <w:p>
      <w:r>
        <w:t>https://www.sba.gov/sba-lenders/</w:t>
      </w:r>
    </w:p>
    <w:p>
      <w:pPr>
        <w:pStyle w:val="Heading2"/>
      </w:pPr>
      <w:r>
        <w:t>5 American Express Business Line of Credit terms</w:t>
      </w:r>
    </w:p>
    <w:p>
      <w:r>
        <w:t>Published single-repayment and installment fee ranges; eligibility and actual terms vary.</w:t>
      </w:r>
    </w:p>
    <w:p>
      <w:r>
        <w:t>https://www.americanexpress.com/en-us/business/blueprint/terms-and-conditions/business-line-of-credit/</w:t>
      </w:r>
    </w:p>
    <w:p>
      <w:pPr>
        <w:pStyle w:val="Heading2"/>
      </w:pPr>
      <w:r>
        <w:t>6 Kiva US borrowing</w:t>
      </w:r>
    </w:p>
    <w:p>
      <w:r>
        <w:t>Published $1k–$15k, 0% and no-fee model, and visible examples of business uses.</w:t>
      </w:r>
    </w:p>
    <w:p>
      <w:r>
        <w:t>https://www.kiva.org/borrow/apply</w:t>
      </w:r>
    </w:p>
    <w:p>
      <w:pPr>
        <w:pStyle w:val="Heading2"/>
      </w:pPr>
      <w:r>
        <w:t>Reproduction formulas</w:t>
      </w:r>
    </w:p>
    <w:p>
      <w:r>
        <w:t>Closing principal = opening principal + new financing − principal runoff. Average principal = (opening + closing principal) ÷ 2. Cash principal repayment = runoff − net principal losses. New investor principal = new financing − reinvested principal repayments. Annual project interest uses average outstanding principal; actual amortization requires dated cash flows.</w:t>
      </w:r>
    </w:p>
    <w:p>
      <w:r>
        <w:t>Company revenue = 2% × originations + 2% × average principal + sponsor subscriptions. Variable cost = 0.40% × originations + 0.35% × average principal. EBITDA = revenue − variable cost − fixed cash costs. Pretax income = EBITDA − depreciation. Net income = pretax income − modeled taxes. Ending cash = opening cash + equity + EBITDA − cash taxes − capital investment.</w:t>
      </w:r>
    </w:p>
    <w:p>
      <w:r>
        <w:t>Amortizing payment = principal × monthly rate ÷ [1 − (1 + monthly rate) raised to negative number of months]. Single-repayment annual effective cost = (maturity payment ÷ net economic proceeds) raised to (365 ÷ days) − 1. Rounded presentation values can differ slightly from formula outputs.</w:t>
      </w:r>
    </w:p>
    <w:sectPr w:rsidR="00FC693F" w:rsidRPr="0006063C" w:rsidSect="00034616">
      <w:footerReference w:type="default" r:id="rId9"/>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Bankers First Choice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7" w:lineRule="auto"/>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40"/>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